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16A" w:rsidRPr="00647DFD" w:rsidRDefault="0087116A" w:rsidP="0087116A">
      <w:pPr>
        <w:rPr>
          <w:szCs w:val="22"/>
        </w:rPr>
      </w:pPr>
      <w:bookmarkStart w:id="0" w:name="_GoBack"/>
      <w:bookmarkEnd w:id="0"/>
      <w:r w:rsidRPr="00647DFD">
        <w:rPr>
          <w:szCs w:val="22"/>
        </w:rPr>
        <w:t>Dnešního dne, měsíce a roku uzavřeli tito účastníci:</w:t>
      </w:r>
    </w:p>
    <w:p w:rsidR="0087116A" w:rsidRPr="00647DFD" w:rsidRDefault="0087116A" w:rsidP="0087116A">
      <w:pPr>
        <w:rPr>
          <w:szCs w:val="22"/>
        </w:rPr>
      </w:pPr>
    </w:p>
    <w:p w:rsidR="00882739" w:rsidRPr="00592506" w:rsidRDefault="00882739" w:rsidP="00882739">
      <w:pPr>
        <w:jc w:val="both"/>
        <w:rPr>
          <w:rFonts w:cs="Arial"/>
        </w:rPr>
      </w:pPr>
      <w:r w:rsidRPr="00592506">
        <w:rPr>
          <w:rFonts w:cs="Arial"/>
          <w:b/>
        </w:rPr>
        <w:t>MĚSTO HAVLÍČKŮV BROD</w:t>
      </w:r>
      <w:r w:rsidRPr="00592506">
        <w:rPr>
          <w:rFonts w:cs="Arial"/>
        </w:rPr>
        <w:t>, IČO 00267449</w:t>
      </w:r>
    </w:p>
    <w:p w:rsidR="00882739" w:rsidRPr="00592506" w:rsidRDefault="00882739" w:rsidP="00882739">
      <w:pPr>
        <w:jc w:val="both"/>
        <w:rPr>
          <w:rFonts w:cs="Arial"/>
        </w:rPr>
      </w:pPr>
      <w:r w:rsidRPr="00592506">
        <w:rPr>
          <w:rFonts w:cs="Arial"/>
        </w:rPr>
        <w:t>se sídlem Havlíčkovo náměstí 57, 580 61 Havlíčkův Brod 2</w:t>
      </w:r>
    </w:p>
    <w:p w:rsidR="00882739" w:rsidRPr="00592506" w:rsidRDefault="00882739" w:rsidP="00882739">
      <w:pPr>
        <w:jc w:val="both"/>
        <w:rPr>
          <w:rFonts w:cs="Arial"/>
        </w:rPr>
      </w:pPr>
      <w:r w:rsidRPr="00592506">
        <w:rPr>
          <w:rFonts w:cs="Arial"/>
        </w:rPr>
        <w:t xml:space="preserve">číslo bankovního účtu: </w:t>
      </w:r>
      <w:r w:rsidR="006E504C">
        <w:t>XXXXXXXX</w:t>
      </w:r>
      <w:r w:rsidRPr="00592506">
        <w:rPr>
          <w:rFonts w:cs="Arial"/>
        </w:rPr>
        <w:t xml:space="preserve"> </w:t>
      </w:r>
    </w:p>
    <w:p w:rsidR="00882739" w:rsidRPr="00592506" w:rsidRDefault="00882739" w:rsidP="00882739">
      <w:pPr>
        <w:widowControl w:val="0"/>
        <w:spacing w:line="192" w:lineRule="atLeast"/>
        <w:ind w:right="72"/>
        <w:rPr>
          <w:rFonts w:cs="Arial"/>
          <w:b/>
        </w:rPr>
      </w:pPr>
      <w:r w:rsidRPr="00592506">
        <w:rPr>
          <w:rFonts w:cs="Arial"/>
        </w:rPr>
        <w:t>zapsané v registru ekonomických subjektů</w:t>
      </w:r>
      <w:r w:rsidRPr="00592506">
        <w:rPr>
          <w:rFonts w:cs="Arial"/>
          <w:b/>
        </w:rPr>
        <w:t xml:space="preserve"> </w:t>
      </w:r>
    </w:p>
    <w:p w:rsidR="00882739" w:rsidRPr="00592506" w:rsidRDefault="00882739" w:rsidP="00882739">
      <w:pPr>
        <w:widowControl w:val="0"/>
        <w:spacing w:line="192" w:lineRule="atLeast"/>
        <w:ind w:right="72"/>
        <w:rPr>
          <w:rFonts w:cs="Arial"/>
        </w:rPr>
      </w:pPr>
      <w:r w:rsidRPr="00592506">
        <w:rPr>
          <w:rFonts w:cs="Arial"/>
        </w:rPr>
        <w:t>zastoupené starostou Zbyňkem Stejskalem</w:t>
      </w:r>
    </w:p>
    <w:p w:rsidR="00882739" w:rsidRPr="00592506" w:rsidRDefault="00882739" w:rsidP="00882739">
      <w:pPr>
        <w:widowControl w:val="0"/>
        <w:spacing w:line="192" w:lineRule="atLeast"/>
        <w:ind w:right="72"/>
        <w:rPr>
          <w:rFonts w:cs="Arial"/>
        </w:rPr>
      </w:pPr>
      <w:r w:rsidRPr="00592506">
        <w:rPr>
          <w:rFonts w:cs="Arial"/>
        </w:rPr>
        <w:t>jako „poskytovatel“ na straně jedné</w:t>
      </w:r>
    </w:p>
    <w:p w:rsidR="00882739" w:rsidRPr="00592506" w:rsidRDefault="00882739" w:rsidP="00882739">
      <w:pPr>
        <w:widowControl w:val="0"/>
        <w:spacing w:line="192" w:lineRule="atLeast"/>
        <w:ind w:right="72"/>
        <w:rPr>
          <w:rFonts w:cs="Arial"/>
        </w:rPr>
      </w:pPr>
    </w:p>
    <w:p w:rsidR="00882739" w:rsidRPr="00592506" w:rsidRDefault="00882739" w:rsidP="00882739">
      <w:pPr>
        <w:widowControl w:val="0"/>
        <w:spacing w:line="192" w:lineRule="atLeast"/>
        <w:ind w:right="72"/>
        <w:rPr>
          <w:rFonts w:cs="Arial"/>
        </w:rPr>
      </w:pPr>
      <w:r w:rsidRPr="00592506">
        <w:rPr>
          <w:rFonts w:cs="Arial"/>
        </w:rPr>
        <w:t>a</w:t>
      </w:r>
    </w:p>
    <w:p w:rsidR="00882739" w:rsidRPr="00592506" w:rsidRDefault="00882739" w:rsidP="00882739">
      <w:pPr>
        <w:widowControl w:val="0"/>
        <w:spacing w:line="192" w:lineRule="atLeast"/>
        <w:ind w:right="72"/>
        <w:rPr>
          <w:rFonts w:cs="Arial"/>
        </w:rPr>
      </w:pPr>
    </w:p>
    <w:p w:rsidR="00BD1F9D" w:rsidRPr="00644A23" w:rsidRDefault="00BD1F9D" w:rsidP="00BD1F9D">
      <w:pPr>
        <w:widowControl w:val="0"/>
        <w:spacing w:line="192" w:lineRule="atLeast"/>
        <w:ind w:right="72"/>
        <w:rPr>
          <w:rFonts w:cs="Arial"/>
          <w:szCs w:val="22"/>
        </w:rPr>
      </w:pPr>
      <w:r w:rsidRPr="00644A23">
        <w:rPr>
          <w:rFonts w:cs="Arial"/>
          <w:b/>
          <w:szCs w:val="22"/>
        </w:rPr>
        <w:t xml:space="preserve">Aeroklub Havlíčkův Brod, </w:t>
      </w:r>
      <w:r>
        <w:rPr>
          <w:rFonts w:cs="Arial"/>
          <w:b/>
          <w:szCs w:val="22"/>
        </w:rPr>
        <w:t>z</w:t>
      </w:r>
      <w:r w:rsidRPr="00644A23">
        <w:rPr>
          <w:rFonts w:cs="Arial"/>
          <w:b/>
          <w:szCs w:val="22"/>
        </w:rPr>
        <w:t>.s.,</w:t>
      </w:r>
      <w:r w:rsidRPr="00644A23">
        <w:rPr>
          <w:rFonts w:cs="Arial"/>
          <w:szCs w:val="22"/>
        </w:rPr>
        <w:t xml:space="preserve"> IČO 00528951</w:t>
      </w:r>
    </w:p>
    <w:p w:rsidR="00BD1F9D" w:rsidRPr="00644A23" w:rsidRDefault="00BD1F9D" w:rsidP="00BD1F9D">
      <w:pPr>
        <w:widowControl w:val="0"/>
        <w:spacing w:line="192" w:lineRule="atLeast"/>
        <w:ind w:right="72"/>
        <w:rPr>
          <w:rFonts w:cs="Arial"/>
          <w:szCs w:val="22"/>
        </w:rPr>
      </w:pPr>
      <w:r>
        <w:rPr>
          <w:rFonts w:cs="Arial"/>
          <w:szCs w:val="22"/>
        </w:rPr>
        <w:t xml:space="preserve">se sídlem </w:t>
      </w:r>
      <w:r w:rsidRPr="00644A23">
        <w:rPr>
          <w:rFonts w:cs="Arial"/>
          <w:szCs w:val="22"/>
        </w:rPr>
        <w:t>Horní Papšíkov 125, 580 01 Havlíčkův Brod</w:t>
      </w:r>
    </w:p>
    <w:p w:rsidR="00BD1F9D" w:rsidRPr="00644A23" w:rsidRDefault="00BD1F9D" w:rsidP="00BD1F9D">
      <w:pPr>
        <w:jc w:val="both"/>
        <w:rPr>
          <w:rFonts w:cs="Arial"/>
        </w:rPr>
      </w:pPr>
      <w:r w:rsidRPr="00644A23">
        <w:rPr>
          <w:rFonts w:cs="Arial"/>
        </w:rPr>
        <w:t xml:space="preserve">číslo bankovního účtu: </w:t>
      </w:r>
      <w:r w:rsidR="006E504C">
        <w:t>XXXXXXXX</w:t>
      </w:r>
      <w:r w:rsidRPr="00644A23">
        <w:rPr>
          <w:rFonts w:cs="Arial"/>
        </w:rPr>
        <w:t xml:space="preserve">  </w:t>
      </w:r>
    </w:p>
    <w:p w:rsidR="00BD1F9D" w:rsidRPr="00644A23" w:rsidRDefault="00BD1F9D" w:rsidP="00BD1F9D">
      <w:pPr>
        <w:widowControl w:val="0"/>
        <w:spacing w:line="192" w:lineRule="atLeast"/>
        <w:ind w:right="72"/>
        <w:rPr>
          <w:rFonts w:cs="Arial"/>
        </w:rPr>
      </w:pPr>
      <w:r w:rsidRPr="00644A23">
        <w:rPr>
          <w:rFonts w:cs="Arial"/>
        </w:rPr>
        <w:t>zastoupený předsedou</w:t>
      </w:r>
      <w:r>
        <w:rPr>
          <w:rFonts w:cs="Arial"/>
        </w:rPr>
        <w:t xml:space="preserve"> spolku</w:t>
      </w:r>
      <w:r w:rsidRPr="00644A23">
        <w:rPr>
          <w:rFonts w:cs="Arial"/>
        </w:rPr>
        <w:t xml:space="preserve"> </w:t>
      </w:r>
      <w:r>
        <w:rPr>
          <w:rFonts w:cs="Arial"/>
        </w:rPr>
        <w:t>Bc. Václavem Stejskalem</w:t>
      </w:r>
    </w:p>
    <w:p w:rsidR="00BD1F9D" w:rsidRPr="00387A4D" w:rsidRDefault="00BD1F9D" w:rsidP="00BD1F9D">
      <w:pPr>
        <w:widowControl w:val="0"/>
        <w:spacing w:line="192" w:lineRule="atLeast"/>
        <w:ind w:right="72"/>
        <w:rPr>
          <w:rFonts w:cs="Arial"/>
        </w:rPr>
      </w:pPr>
      <w:r w:rsidRPr="00644A23">
        <w:rPr>
          <w:rFonts w:cs="Arial"/>
        </w:rPr>
        <w:t>jako „příjemce“ na straně druhé</w:t>
      </w:r>
    </w:p>
    <w:p w:rsidR="0087116A" w:rsidRPr="00647DFD" w:rsidRDefault="0087116A" w:rsidP="0087116A">
      <w:pPr>
        <w:widowControl w:val="0"/>
        <w:spacing w:line="192" w:lineRule="atLeast"/>
        <w:ind w:right="72"/>
        <w:rPr>
          <w:rFonts w:cs="Arial"/>
        </w:rPr>
      </w:pPr>
    </w:p>
    <w:p w:rsidR="0087116A" w:rsidRPr="00647DFD" w:rsidRDefault="0087116A" w:rsidP="0087116A">
      <w:pPr>
        <w:widowControl w:val="0"/>
        <w:spacing w:line="192" w:lineRule="atLeast"/>
        <w:ind w:right="72"/>
        <w:rPr>
          <w:szCs w:val="22"/>
        </w:rPr>
      </w:pPr>
    </w:p>
    <w:p w:rsidR="0087116A" w:rsidRPr="00647DFD" w:rsidRDefault="0087116A" w:rsidP="0087116A">
      <w:pPr>
        <w:widowControl w:val="0"/>
        <w:spacing w:line="192" w:lineRule="atLeast"/>
        <w:ind w:right="72"/>
        <w:rPr>
          <w:szCs w:val="22"/>
        </w:rPr>
      </w:pPr>
    </w:p>
    <w:p w:rsidR="0087116A" w:rsidRPr="00647DFD" w:rsidRDefault="0087116A" w:rsidP="0087116A">
      <w:pPr>
        <w:widowControl w:val="0"/>
        <w:spacing w:line="192" w:lineRule="atLeast"/>
        <w:ind w:right="72"/>
        <w:jc w:val="center"/>
        <w:rPr>
          <w:b/>
          <w:bCs/>
          <w:caps/>
          <w:szCs w:val="22"/>
        </w:rPr>
      </w:pPr>
      <w:r w:rsidRPr="00647DFD">
        <w:rPr>
          <w:b/>
          <w:bCs/>
          <w:caps/>
          <w:szCs w:val="22"/>
        </w:rPr>
        <w:t>smlouvu o poskytnutí individuální FINANČNÍ PODPORY</w:t>
      </w:r>
    </w:p>
    <w:p w:rsidR="0087116A" w:rsidRPr="00647DFD" w:rsidRDefault="0087116A" w:rsidP="0087116A">
      <w:pPr>
        <w:widowControl w:val="0"/>
        <w:spacing w:line="192" w:lineRule="atLeast"/>
        <w:ind w:right="72"/>
        <w:jc w:val="center"/>
        <w:rPr>
          <w:b/>
          <w:szCs w:val="22"/>
        </w:rPr>
      </w:pPr>
    </w:p>
    <w:p w:rsidR="0087116A" w:rsidRPr="00647DFD" w:rsidRDefault="0087116A" w:rsidP="0087116A">
      <w:pPr>
        <w:suppressAutoHyphens/>
        <w:jc w:val="center"/>
        <w:rPr>
          <w:rFonts w:cs="Arial"/>
          <w:szCs w:val="22"/>
        </w:rPr>
      </w:pPr>
      <w:r w:rsidRPr="00647DFD">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87116A" w:rsidRPr="00647DFD" w:rsidRDefault="0087116A" w:rsidP="0087116A">
      <w:pPr>
        <w:widowControl w:val="0"/>
        <w:spacing w:line="192" w:lineRule="atLeast"/>
        <w:ind w:right="72"/>
        <w:jc w:val="center"/>
        <w:rPr>
          <w:b/>
          <w:szCs w:val="22"/>
        </w:rPr>
      </w:pPr>
    </w:p>
    <w:p w:rsidR="0087116A" w:rsidRPr="00647DFD" w:rsidRDefault="0087116A" w:rsidP="0087116A">
      <w:pPr>
        <w:pStyle w:val="NormlnA11"/>
        <w:jc w:val="center"/>
        <w:rPr>
          <w:szCs w:val="22"/>
        </w:rPr>
      </w:pPr>
      <w:r w:rsidRPr="00647DFD">
        <w:rPr>
          <w:szCs w:val="22"/>
        </w:rPr>
        <w:t>Účastníci smlouvy prohlašují, že jsou svéprávní.</w:t>
      </w:r>
    </w:p>
    <w:p w:rsidR="0087116A" w:rsidRPr="00647DFD" w:rsidRDefault="0087116A" w:rsidP="0087116A">
      <w:pPr>
        <w:pStyle w:val="NoteHead"/>
        <w:spacing w:after="0"/>
        <w:jc w:val="left"/>
        <w:rPr>
          <w:rFonts w:ascii="Arial" w:hAnsi="Arial" w:cs="Arial"/>
          <w:sz w:val="22"/>
          <w:szCs w:val="22"/>
        </w:rPr>
      </w:pPr>
    </w:p>
    <w:p w:rsidR="0087116A" w:rsidRPr="00647DFD" w:rsidRDefault="0087116A" w:rsidP="0087116A">
      <w:pPr>
        <w:pStyle w:val="NoteHead"/>
        <w:spacing w:after="0"/>
        <w:outlineLvl w:val="0"/>
        <w:rPr>
          <w:rFonts w:ascii="Arial" w:hAnsi="Arial" w:cs="Arial"/>
          <w:sz w:val="22"/>
          <w:szCs w:val="22"/>
        </w:rPr>
      </w:pPr>
    </w:p>
    <w:p w:rsidR="0087116A" w:rsidRPr="00647DFD" w:rsidRDefault="0087116A" w:rsidP="0087116A">
      <w:pPr>
        <w:pStyle w:val="NoteHead"/>
        <w:spacing w:after="0"/>
        <w:outlineLvl w:val="0"/>
        <w:rPr>
          <w:rFonts w:ascii="Arial" w:hAnsi="Arial" w:cs="Arial"/>
          <w:sz w:val="22"/>
          <w:szCs w:val="22"/>
        </w:rPr>
      </w:pPr>
      <w:r w:rsidRPr="00647DFD">
        <w:rPr>
          <w:rFonts w:ascii="Arial" w:hAnsi="Arial" w:cs="Arial"/>
          <w:sz w:val="22"/>
          <w:szCs w:val="22"/>
        </w:rPr>
        <w:t>Článek I.</w:t>
      </w:r>
    </w:p>
    <w:p w:rsidR="0087116A" w:rsidRPr="00647DFD" w:rsidRDefault="0087116A" w:rsidP="0087116A">
      <w:pPr>
        <w:pStyle w:val="NoteHead"/>
        <w:spacing w:after="10"/>
        <w:rPr>
          <w:rFonts w:ascii="Arial" w:hAnsi="Arial" w:cs="Arial"/>
          <w:sz w:val="22"/>
          <w:szCs w:val="22"/>
        </w:rPr>
      </w:pPr>
      <w:r w:rsidRPr="00647DFD">
        <w:rPr>
          <w:rFonts w:ascii="Arial" w:hAnsi="Arial" w:cs="Arial"/>
          <w:sz w:val="22"/>
          <w:szCs w:val="22"/>
        </w:rPr>
        <w:t>Předmět a účel smlouvy</w:t>
      </w:r>
    </w:p>
    <w:p w:rsidR="0087116A" w:rsidRPr="00647DFD" w:rsidRDefault="0087116A" w:rsidP="0087116A"/>
    <w:p w:rsidR="0087116A" w:rsidRPr="00647DFD" w:rsidRDefault="0087116A" w:rsidP="0087116A">
      <w:pPr>
        <w:pStyle w:val="Zkladntextodsazen2"/>
        <w:numPr>
          <w:ilvl w:val="0"/>
          <w:numId w:val="33"/>
        </w:numPr>
        <w:spacing w:before="60" w:after="0" w:line="240" w:lineRule="auto"/>
        <w:ind w:left="357" w:hanging="357"/>
        <w:jc w:val="both"/>
        <w:rPr>
          <w:rFonts w:cs="Arial"/>
          <w:szCs w:val="22"/>
        </w:rPr>
      </w:pPr>
      <w:r w:rsidRPr="00647DFD">
        <w:t xml:space="preserve">Tato smlouva byla schválena usnesením zastupitelstva města </w:t>
      </w:r>
      <w:r w:rsidRPr="00BD1F9D">
        <w:rPr>
          <w:b/>
        </w:rPr>
        <w:t xml:space="preserve">č. </w:t>
      </w:r>
      <w:r w:rsidR="007F7D1B">
        <w:rPr>
          <w:b/>
        </w:rPr>
        <w:t>294</w:t>
      </w:r>
      <w:r w:rsidRPr="00BD1F9D">
        <w:rPr>
          <w:b/>
        </w:rPr>
        <w:t>/25</w:t>
      </w:r>
      <w:r w:rsidRPr="00647DFD">
        <w:t xml:space="preserve"> dne </w:t>
      </w:r>
      <w:r w:rsidR="00BD1F9D">
        <w:t>8. 12</w:t>
      </w:r>
      <w:r w:rsidRPr="00647DFD">
        <w:t>. 202</w:t>
      </w:r>
      <w:r>
        <w:t>5</w:t>
      </w:r>
      <w:r w:rsidRPr="00647DFD">
        <w:t>.</w:t>
      </w:r>
    </w:p>
    <w:p w:rsidR="0087116A" w:rsidRPr="00647DFD" w:rsidRDefault="0087116A" w:rsidP="0087116A">
      <w:pPr>
        <w:pStyle w:val="Zkladntextodsazen2"/>
        <w:numPr>
          <w:ilvl w:val="0"/>
          <w:numId w:val="33"/>
        </w:numPr>
        <w:spacing w:before="60" w:after="0" w:line="240" w:lineRule="auto"/>
        <w:ind w:left="357" w:hanging="357"/>
        <w:jc w:val="both"/>
        <w:rPr>
          <w:rFonts w:cs="Arial"/>
          <w:szCs w:val="22"/>
        </w:rPr>
      </w:pPr>
      <w:r w:rsidRPr="00647DFD">
        <w:rPr>
          <w:rFonts w:cs="Arial"/>
          <w:szCs w:val="22"/>
        </w:rPr>
        <w:lastRenderedPageBreak/>
        <w:t>Poskytovatel se zavazuje účelově poskytnout příjemci ze svého rozpočtu schváleného na rok 202</w:t>
      </w:r>
      <w:r w:rsidR="00BD1F9D">
        <w:rPr>
          <w:rFonts w:cs="Arial"/>
          <w:szCs w:val="22"/>
        </w:rPr>
        <w:t>6</w:t>
      </w:r>
      <w:r w:rsidRPr="00647DFD">
        <w:rPr>
          <w:rFonts w:cs="Arial"/>
          <w:b/>
          <w:szCs w:val="22"/>
        </w:rPr>
        <w:t xml:space="preserve"> individuální dotaci ve výši </w:t>
      </w:r>
      <w:r w:rsidR="00BD1F9D">
        <w:rPr>
          <w:rFonts w:cs="Arial"/>
          <w:b/>
          <w:szCs w:val="22"/>
        </w:rPr>
        <w:t>25</w:t>
      </w:r>
      <w:r w:rsidRPr="00647DFD">
        <w:rPr>
          <w:rFonts w:cs="Arial"/>
          <w:b/>
          <w:szCs w:val="22"/>
        </w:rPr>
        <w:t>0 000 Kč</w:t>
      </w:r>
      <w:r w:rsidRPr="00647DFD">
        <w:rPr>
          <w:rFonts w:cs="Arial"/>
          <w:i/>
          <w:szCs w:val="22"/>
        </w:rPr>
        <w:t xml:space="preserve"> </w:t>
      </w:r>
      <w:r w:rsidRPr="00647DFD">
        <w:rPr>
          <w:rFonts w:cs="Arial"/>
          <w:szCs w:val="22"/>
        </w:rPr>
        <w:t xml:space="preserve">(slovy: </w:t>
      </w:r>
      <w:r w:rsidR="00BD1F9D" w:rsidRPr="00BD1F9D">
        <w:rPr>
          <w:rFonts w:cs="Arial"/>
          <w:i/>
          <w:szCs w:val="22"/>
        </w:rPr>
        <w:t>dvěstěpadesát</w:t>
      </w:r>
      <w:r w:rsidRPr="00BD1F9D">
        <w:rPr>
          <w:rFonts w:cs="Arial"/>
          <w:i/>
          <w:szCs w:val="22"/>
        </w:rPr>
        <w:t>tisíckorunčeských</w:t>
      </w:r>
      <w:r w:rsidR="00BD1F9D">
        <w:rPr>
          <w:rFonts w:cs="Arial"/>
          <w:szCs w:val="22"/>
        </w:rPr>
        <w:t>)</w:t>
      </w:r>
      <w:r w:rsidRPr="00647DFD">
        <w:rPr>
          <w:rFonts w:cs="Arial"/>
          <w:szCs w:val="22"/>
        </w:rPr>
        <w:t xml:space="preserve"> </w:t>
      </w:r>
      <w:r w:rsidR="00BD1F9D" w:rsidRPr="00BD1F9D">
        <w:rPr>
          <w:rFonts w:cs="Arial"/>
          <w:szCs w:val="22"/>
        </w:rPr>
        <w:t>na provoz veřejného vnitrostátního/neveřejného mezinárodního letiště a heliportu HEMS pro potřeby nemocnice</w:t>
      </w:r>
      <w:r w:rsidR="00BD1F9D" w:rsidRPr="00647DFD">
        <w:rPr>
          <w:rFonts w:cs="Arial"/>
          <w:szCs w:val="22"/>
        </w:rPr>
        <w:t xml:space="preserve"> </w:t>
      </w:r>
      <w:r w:rsidRPr="00647DFD">
        <w:rPr>
          <w:rFonts w:cs="Arial"/>
          <w:szCs w:val="22"/>
        </w:rPr>
        <w:t xml:space="preserve">s tím, že účelu bude dosaženo nejpozději do </w:t>
      </w:r>
      <w:r w:rsidR="00BD1F9D">
        <w:rPr>
          <w:rFonts w:cs="Arial"/>
          <w:szCs w:val="22"/>
        </w:rPr>
        <w:t>31. 12. 2026</w:t>
      </w:r>
      <w:r w:rsidRPr="00647DFD">
        <w:rPr>
          <w:rFonts w:cs="Arial"/>
          <w:szCs w:val="22"/>
        </w:rPr>
        <w:t xml:space="preserve">, a to v souladu s příslušnou Žádostí o poskytnutí individuální dotace z rozpočtu města Havlíčkův Brod (evidovanou dle QS 55 – 09 Spisovým a skartačním řádem města Havlíčkův Brod pod JID: </w:t>
      </w:r>
      <w:r w:rsidR="00BD1F9D">
        <w:rPr>
          <w:rFonts w:cs="Arial"/>
          <w:szCs w:val="22"/>
        </w:rPr>
        <w:t>118484</w:t>
      </w:r>
      <w:r w:rsidRPr="00647DFD">
        <w:rPr>
          <w:rFonts w:cs="Arial"/>
          <w:szCs w:val="22"/>
        </w:rPr>
        <w:t>/202</w:t>
      </w:r>
      <w:r>
        <w:rPr>
          <w:rFonts w:cs="Arial"/>
          <w:szCs w:val="22"/>
        </w:rPr>
        <w:t>5</w:t>
      </w:r>
      <w:r w:rsidRPr="00647DFD">
        <w:rPr>
          <w:rFonts w:cs="Arial"/>
          <w:szCs w:val="22"/>
        </w:rPr>
        <w:t>/muhb), v souladu se zákonem č. 128/2000 Sb., o obcích, ve znění pozdějších předpisů a zákonem č. 250/2000 Sb., o rozpočtových pravidlech územních rozpočtů, ve znění pozdějších předpisů.</w:t>
      </w:r>
    </w:p>
    <w:p w:rsidR="0087116A" w:rsidRPr="00647DFD" w:rsidRDefault="0087116A" w:rsidP="0087116A">
      <w:pPr>
        <w:pStyle w:val="Zkladntextodsazen2"/>
        <w:spacing w:after="0" w:line="240" w:lineRule="auto"/>
        <w:ind w:left="360"/>
        <w:jc w:val="both"/>
        <w:rPr>
          <w:rFonts w:cs="Arial"/>
          <w:szCs w:val="22"/>
        </w:rPr>
      </w:pPr>
      <w:r w:rsidRPr="00647DFD">
        <w:rPr>
          <w:rFonts w:cs="Arial"/>
          <w:szCs w:val="22"/>
        </w:rPr>
        <w:t>(dále jen „projekt“)</w:t>
      </w:r>
    </w:p>
    <w:p w:rsidR="0087116A" w:rsidRPr="00647DFD" w:rsidRDefault="0087116A" w:rsidP="0087116A">
      <w:pPr>
        <w:pStyle w:val="Zkladntextodsazen2"/>
        <w:spacing w:after="0" w:line="240" w:lineRule="auto"/>
        <w:ind w:left="360"/>
        <w:jc w:val="both"/>
        <w:rPr>
          <w:rFonts w:cs="Arial"/>
          <w:szCs w:val="22"/>
        </w:rPr>
      </w:pPr>
      <w:r w:rsidRPr="00647DFD">
        <w:rPr>
          <w:rFonts w:cs="Arial"/>
          <w:szCs w:val="22"/>
        </w:rPr>
        <w:t xml:space="preserve">Podpora představuje </w:t>
      </w:r>
      <w:r w:rsidR="00BD1F9D">
        <w:rPr>
          <w:rFonts w:cs="Arial"/>
          <w:szCs w:val="22"/>
        </w:rPr>
        <w:t>69,44</w:t>
      </w:r>
      <w:r w:rsidRPr="00647DFD">
        <w:rPr>
          <w:rFonts w:cs="Arial"/>
          <w:b/>
          <w:bCs/>
          <w:szCs w:val="22"/>
        </w:rPr>
        <w:t xml:space="preserve"> </w:t>
      </w:r>
      <w:r w:rsidRPr="00647DFD">
        <w:rPr>
          <w:rFonts w:cs="Arial"/>
          <w:szCs w:val="22"/>
        </w:rPr>
        <w:t>% z celkových nákladů na projekt.</w:t>
      </w:r>
    </w:p>
    <w:p w:rsidR="0087116A" w:rsidRPr="00647DFD" w:rsidRDefault="0087116A" w:rsidP="0087116A">
      <w:pPr>
        <w:pStyle w:val="Zkladntextodsazen2"/>
        <w:numPr>
          <w:ilvl w:val="0"/>
          <w:numId w:val="33"/>
        </w:numPr>
        <w:spacing w:before="60" w:after="0" w:line="240" w:lineRule="auto"/>
        <w:ind w:left="357" w:hanging="357"/>
        <w:jc w:val="both"/>
        <w:rPr>
          <w:rFonts w:cs="Arial"/>
          <w:szCs w:val="22"/>
        </w:rPr>
      </w:pPr>
      <w:r w:rsidRPr="00647DFD">
        <w:rPr>
          <w:rFonts w:cs="Arial"/>
          <w:bCs/>
          <w:szCs w:val="22"/>
        </w:rPr>
        <w:t xml:space="preserve">Pro </w:t>
      </w:r>
      <w:r w:rsidRPr="00647DFD">
        <w:t>účely</w:t>
      </w:r>
      <w:r w:rsidRPr="00647DFD">
        <w:rPr>
          <w:rFonts w:cs="Arial"/>
          <w:bCs/>
          <w:szCs w:val="22"/>
        </w:rPr>
        <w:t xml:space="preserve"> této smlouvy se rozumí:</w:t>
      </w:r>
    </w:p>
    <w:p w:rsidR="0087116A" w:rsidRPr="00647DFD" w:rsidRDefault="0087116A" w:rsidP="0087116A">
      <w:pPr>
        <w:numPr>
          <w:ilvl w:val="0"/>
          <w:numId w:val="32"/>
        </w:numPr>
        <w:autoSpaceDE w:val="0"/>
        <w:autoSpaceDN w:val="0"/>
        <w:adjustRightInd w:val="0"/>
        <w:ind w:left="709" w:hanging="349"/>
        <w:jc w:val="both"/>
        <w:rPr>
          <w:rFonts w:cs="Arial"/>
          <w:szCs w:val="22"/>
        </w:rPr>
      </w:pPr>
      <w:r w:rsidRPr="00647DFD">
        <w:rPr>
          <w:rFonts w:cs="Arial"/>
          <w:szCs w:val="22"/>
        </w:rPr>
        <w:t>Finanční podpora je veřejnou finanční podporou ve smyslu zákona č. 320/2001 Sb., o finanční kontrole ve veřejné správě a o změně některých zákonů (zákon o finanční kontrole), ve znění pozdějších předpisů, a vztahují se na ni všechna ustanovení tohoto zákona.</w:t>
      </w:r>
    </w:p>
    <w:p w:rsidR="0087116A" w:rsidRPr="00647DFD" w:rsidRDefault="0087116A" w:rsidP="0087116A">
      <w:pPr>
        <w:numPr>
          <w:ilvl w:val="0"/>
          <w:numId w:val="32"/>
        </w:numPr>
        <w:autoSpaceDE w:val="0"/>
        <w:autoSpaceDN w:val="0"/>
        <w:adjustRightInd w:val="0"/>
        <w:ind w:left="709" w:hanging="349"/>
        <w:jc w:val="both"/>
        <w:rPr>
          <w:rFonts w:cs="Arial"/>
          <w:szCs w:val="22"/>
        </w:rPr>
      </w:pPr>
      <w:r w:rsidRPr="00647DFD">
        <w:rPr>
          <w:rFonts w:cs="Arial"/>
          <w:szCs w:val="22"/>
        </w:rPr>
        <w:t>Finanční</w:t>
      </w:r>
      <w:r w:rsidRPr="00647DFD">
        <w:rPr>
          <w:rFonts w:cs="Arial"/>
          <w:bCs/>
          <w:szCs w:val="22"/>
        </w:rPr>
        <w:t xml:space="preserve"> prostředky shora uvedené jsou poskytovány prostřednictvím veřejnoprávní smlouvy ve smyslu § 10a </w:t>
      </w:r>
      <w:r w:rsidRPr="00647DFD">
        <w:rPr>
          <w:rFonts w:cs="Arial"/>
          <w:szCs w:val="22"/>
        </w:rPr>
        <w:t>zákona č. 250/2000 Sb., o rozpočtových pravidlech územních rozpočtů, ve znění pozdějších předpisů.</w:t>
      </w:r>
    </w:p>
    <w:p w:rsidR="0087116A" w:rsidRPr="00647DFD" w:rsidRDefault="0087116A" w:rsidP="0087116A">
      <w:pPr>
        <w:numPr>
          <w:ilvl w:val="0"/>
          <w:numId w:val="32"/>
        </w:numPr>
        <w:autoSpaceDE w:val="0"/>
        <w:autoSpaceDN w:val="0"/>
        <w:adjustRightInd w:val="0"/>
        <w:ind w:left="709" w:hanging="349"/>
        <w:jc w:val="both"/>
        <w:rPr>
          <w:rFonts w:cs="Arial"/>
          <w:i/>
          <w:iCs/>
          <w:szCs w:val="22"/>
        </w:rPr>
      </w:pPr>
      <w:r w:rsidRPr="00647DFD">
        <w:rPr>
          <w:rFonts w:cs="Arial"/>
          <w:szCs w:val="22"/>
        </w:rPr>
        <w:t xml:space="preserve">Finanční podpora je slučitelná s podporou poskytnutou z rozpočtu jiných územních samosprávných celků, státního rozpočtu nebo strukturálních fondů Evropské unie, pokud dále není stanoveno jinak a pokud to pravidla pro poskytnutí těchto podpor nevylučují. </w:t>
      </w:r>
    </w:p>
    <w:p w:rsidR="0087116A" w:rsidRPr="00647DFD" w:rsidRDefault="0087116A" w:rsidP="0087116A">
      <w:pPr>
        <w:autoSpaceDE w:val="0"/>
        <w:autoSpaceDN w:val="0"/>
        <w:adjustRightInd w:val="0"/>
        <w:jc w:val="both"/>
        <w:rPr>
          <w:rFonts w:cs="Arial"/>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0"/>
        <w:gridCol w:w="4080"/>
      </w:tblGrid>
      <w:tr w:rsidR="0087116A" w:rsidRPr="00647DFD" w:rsidTr="007C7111">
        <w:tc>
          <w:tcPr>
            <w:tcW w:w="4770" w:type="dxa"/>
          </w:tcPr>
          <w:p w:rsidR="0087116A" w:rsidRPr="00647DFD" w:rsidRDefault="0087116A" w:rsidP="00C74688">
            <w:pPr>
              <w:pStyle w:val="Nadpis1"/>
              <w:jc w:val="left"/>
              <w:rPr>
                <w:rFonts w:cs="Arial"/>
                <w:b w:val="0"/>
                <w:bCs/>
                <w:szCs w:val="22"/>
              </w:rPr>
            </w:pPr>
            <w:r w:rsidRPr="00647DFD">
              <w:rPr>
                <w:rFonts w:cs="Arial"/>
                <w:b w:val="0"/>
                <w:bCs/>
                <w:szCs w:val="22"/>
              </w:rPr>
              <w:t>Celkové náklady projektu v Kč</w:t>
            </w:r>
          </w:p>
        </w:tc>
        <w:tc>
          <w:tcPr>
            <w:tcW w:w="4080" w:type="dxa"/>
          </w:tcPr>
          <w:p w:rsidR="0087116A" w:rsidRPr="00647DFD" w:rsidRDefault="00BD1F9D" w:rsidP="007C7111">
            <w:pPr>
              <w:pStyle w:val="Nadpis1"/>
              <w:ind w:left="200"/>
              <w:jc w:val="right"/>
              <w:rPr>
                <w:rFonts w:cs="Arial"/>
                <w:b w:val="0"/>
                <w:bCs/>
                <w:szCs w:val="22"/>
              </w:rPr>
            </w:pPr>
            <w:r>
              <w:rPr>
                <w:rFonts w:cs="Arial"/>
                <w:szCs w:val="22"/>
              </w:rPr>
              <w:t>360 000</w:t>
            </w:r>
            <w:r w:rsidR="0087116A" w:rsidRPr="00647DFD">
              <w:rPr>
                <w:rFonts w:cs="Arial"/>
                <w:b w:val="0"/>
                <w:bCs/>
                <w:szCs w:val="22"/>
              </w:rPr>
              <w:t xml:space="preserve"> </w:t>
            </w:r>
          </w:p>
        </w:tc>
      </w:tr>
      <w:tr w:rsidR="0087116A" w:rsidRPr="00647DFD" w:rsidTr="007C7111">
        <w:tc>
          <w:tcPr>
            <w:tcW w:w="4770" w:type="dxa"/>
          </w:tcPr>
          <w:p w:rsidR="0087116A" w:rsidRPr="00647DFD" w:rsidRDefault="0087116A" w:rsidP="00C74688">
            <w:pPr>
              <w:rPr>
                <w:rFonts w:cs="Arial"/>
                <w:szCs w:val="22"/>
              </w:rPr>
            </w:pPr>
            <w:r w:rsidRPr="00647DFD">
              <w:rPr>
                <w:rFonts w:cs="Arial"/>
                <w:szCs w:val="22"/>
              </w:rPr>
              <w:t>Výše podpory z veřejného rozpočtu města Havlíčkův Brod v Kč</w:t>
            </w:r>
          </w:p>
        </w:tc>
        <w:tc>
          <w:tcPr>
            <w:tcW w:w="4080" w:type="dxa"/>
          </w:tcPr>
          <w:p w:rsidR="0087116A" w:rsidRPr="00647DFD" w:rsidRDefault="00E13BE9" w:rsidP="007C7111">
            <w:pPr>
              <w:ind w:left="200"/>
              <w:jc w:val="right"/>
              <w:rPr>
                <w:rFonts w:cs="Arial"/>
                <w:szCs w:val="22"/>
              </w:rPr>
            </w:pPr>
            <w:r>
              <w:rPr>
                <w:rFonts w:cs="Arial"/>
                <w:b/>
                <w:szCs w:val="22"/>
              </w:rPr>
              <w:t>250</w:t>
            </w:r>
            <w:r w:rsidR="0087116A" w:rsidRPr="00647DFD">
              <w:rPr>
                <w:rFonts w:cs="Arial"/>
                <w:b/>
                <w:szCs w:val="22"/>
              </w:rPr>
              <w:t xml:space="preserve"> 000</w:t>
            </w:r>
          </w:p>
        </w:tc>
      </w:tr>
      <w:tr w:rsidR="0087116A" w:rsidRPr="00647DFD" w:rsidTr="007C7111">
        <w:tc>
          <w:tcPr>
            <w:tcW w:w="4770" w:type="dxa"/>
          </w:tcPr>
          <w:p w:rsidR="0087116A" w:rsidRPr="00647DFD" w:rsidRDefault="0087116A" w:rsidP="00C74688">
            <w:pPr>
              <w:rPr>
                <w:rFonts w:cs="Arial"/>
                <w:szCs w:val="22"/>
              </w:rPr>
            </w:pPr>
            <w:r w:rsidRPr="00647DFD">
              <w:rPr>
                <w:rFonts w:cs="Arial"/>
                <w:szCs w:val="22"/>
              </w:rPr>
              <w:t>Výše podpory z veřejného rozpočtu města Havlíčkův Brod v %</w:t>
            </w:r>
          </w:p>
        </w:tc>
        <w:tc>
          <w:tcPr>
            <w:tcW w:w="4080" w:type="dxa"/>
          </w:tcPr>
          <w:p w:rsidR="0087116A" w:rsidRPr="00647DFD" w:rsidRDefault="00E13BE9" w:rsidP="007C7111">
            <w:pPr>
              <w:ind w:left="200"/>
              <w:jc w:val="right"/>
              <w:rPr>
                <w:rFonts w:cs="Arial"/>
                <w:b/>
                <w:szCs w:val="22"/>
              </w:rPr>
            </w:pPr>
            <w:r>
              <w:rPr>
                <w:rFonts w:cs="Arial"/>
                <w:b/>
                <w:szCs w:val="22"/>
              </w:rPr>
              <w:t>69,44</w:t>
            </w:r>
            <w:r w:rsidR="0087116A" w:rsidRPr="00647DFD">
              <w:rPr>
                <w:rFonts w:cs="Arial"/>
                <w:b/>
                <w:szCs w:val="22"/>
              </w:rPr>
              <w:t xml:space="preserve"> </w:t>
            </w:r>
            <w:r w:rsidR="0087116A" w:rsidRPr="00647DFD">
              <w:rPr>
                <w:rFonts w:cs="Arial"/>
                <w:szCs w:val="22"/>
              </w:rPr>
              <w:t>% z celkových nákladů na projekt</w:t>
            </w:r>
          </w:p>
        </w:tc>
      </w:tr>
      <w:tr w:rsidR="0087116A" w:rsidRPr="00647DFD" w:rsidTr="007C7111">
        <w:tc>
          <w:tcPr>
            <w:tcW w:w="4770" w:type="dxa"/>
          </w:tcPr>
          <w:p w:rsidR="0087116A" w:rsidRPr="00647DFD" w:rsidRDefault="0087116A" w:rsidP="00C74688">
            <w:pPr>
              <w:spacing w:line="288" w:lineRule="auto"/>
              <w:rPr>
                <w:rFonts w:cs="Arial"/>
                <w:szCs w:val="22"/>
              </w:rPr>
            </w:pPr>
            <w:r w:rsidRPr="00647DFD">
              <w:rPr>
                <w:rFonts w:cs="Arial"/>
                <w:szCs w:val="22"/>
              </w:rPr>
              <w:t>Vlastní podíl příjemce  v Kč</w:t>
            </w:r>
          </w:p>
        </w:tc>
        <w:tc>
          <w:tcPr>
            <w:tcW w:w="4080" w:type="dxa"/>
          </w:tcPr>
          <w:p w:rsidR="0087116A" w:rsidRPr="00647DFD" w:rsidRDefault="00E13BE9" w:rsidP="007C7111">
            <w:pPr>
              <w:ind w:left="200"/>
              <w:jc w:val="right"/>
              <w:rPr>
                <w:rFonts w:cs="Arial"/>
                <w:szCs w:val="22"/>
              </w:rPr>
            </w:pPr>
            <w:r>
              <w:rPr>
                <w:rFonts w:cs="Arial"/>
                <w:b/>
                <w:szCs w:val="22"/>
              </w:rPr>
              <w:t>110 000</w:t>
            </w:r>
          </w:p>
        </w:tc>
      </w:tr>
      <w:tr w:rsidR="0087116A" w:rsidRPr="00647DFD" w:rsidTr="007C7111">
        <w:tc>
          <w:tcPr>
            <w:tcW w:w="4770" w:type="dxa"/>
          </w:tcPr>
          <w:p w:rsidR="0087116A" w:rsidRPr="00647DFD" w:rsidRDefault="0087116A" w:rsidP="00C74688">
            <w:pPr>
              <w:spacing w:line="288" w:lineRule="auto"/>
              <w:rPr>
                <w:rFonts w:cs="Arial"/>
                <w:szCs w:val="22"/>
              </w:rPr>
            </w:pPr>
            <w:r w:rsidRPr="00647DFD">
              <w:rPr>
                <w:rFonts w:cs="Arial"/>
                <w:szCs w:val="22"/>
              </w:rPr>
              <w:t>Vlastní podíl příjemce  v %</w:t>
            </w:r>
          </w:p>
        </w:tc>
        <w:tc>
          <w:tcPr>
            <w:tcW w:w="4080" w:type="dxa"/>
          </w:tcPr>
          <w:p w:rsidR="0087116A" w:rsidRPr="00647DFD" w:rsidRDefault="00E13BE9" w:rsidP="007C7111">
            <w:pPr>
              <w:spacing w:line="288" w:lineRule="auto"/>
              <w:ind w:left="200"/>
              <w:jc w:val="right"/>
              <w:rPr>
                <w:rFonts w:cs="Arial"/>
                <w:szCs w:val="22"/>
              </w:rPr>
            </w:pPr>
            <w:r>
              <w:rPr>
                <w:rFonts w:cs="Arial"/>
                <w:b/>
                <w:szCs w:val="22"/>
              </w:rPr>
              <w:t>30,56</w:t>
            </w:r>
            <w:r w:rsidR="0087116A" w:rsidRPr="00647DFD">
              <w:rPr>
                <w:rFonts w:cs="Arial"/>
                <w:b/>
                <w:szCs w:val="22"/>
              </w:rPr>
              <w:t xml:space="preserve"> </w:t>
            </w:r>
            <w:r w:rsidR="0087116A" w:rsidRPr="00647DFD">
              <w:rPr>
                <w:rFonts w:cs="Arial"/>
                <w:szCs w:val="22"/>
              </w:rPr>
              <w:t>% z celkových nákladů na projekt</w:t>
            </w:r>
          </w:p>
        </w:tc>
      </w:tr>
    </w:tbl>
    <w:p w:rsidR="0087116A" w:rsidRPr="00647DFD" w:rsidRDefault="0087116A" w:rsidP="0087116A">
      <w:pPr>
        <w:pStyle w:val="NoteHead"/>
        <w:spacing w:after="0"/>
        <w:rPr>
          <w:rFonts w:ascii="Arial" w:hAnsi="Arial" w:cs="Arial"/>
          <w:smallCaps/>
          <w:sz w:val="22"/>
          <w:szCs w:val="22"/>
        </w:rPr>
      </w:pPr>
    </w:p>
    <w:p w:rsidR="0087116A" w:rsidRPr="00647DFD" w:rsidRDefault="0087116A" w:rsidP="0087116A">
      <w:pPr>
        <w:autoSpaceDE w:val="0"/>
        <w:autoSpaceDN w:val="0"/>
        <w:adjustRightInd w:val="0"/>
        <w:ind w:left="360"/>
        <w:jc w:val="both"/>
        <w:rPr>
          <w:rFonts w:cs="Arial"/>
          <w:szCs w:val="22"/>
        </w:rPr>
      </w:pPr>
    </w:p>
    <w:p w:rsidR="0087116A" w:rsidRPr="00647DFD" w:rsidRDefault="0087116A" w:rsidP="0087116A">
      <w:pPr>
        <w:pStyle w:val="NoteHead"/>
        <w:spacing w:after="0"/>
        <w:rPr>
          <w:rFonts w:ascii="Arial" w:hAnsi="Arial" w:cs="Arial"/>
          <w:smallCaps/>
          <w:sz w:val="22"/>
          <w:szCs w:val="22"/>
        </w:rPr>
      </w:pPr>
      <w:r w:rsidRPr="00647DFD">
        <w:rPr>
          <w:rFonts w:ascii="Arial" w:hAnsi="Arial" w:cs="Arial"/>
          <w:sz w:val="22"/>
          <w:szCs w:val="22"/>
        </w:rPr>
        <w:t>Článek</w:t>
      </w:r>
      <w:r w:rsidRPr="00647DFD">
        <w:rPr>
          <w:rFonts w:ascii="Arial" w:hAnsi="Arial" w:cs="Arial"/>
          <w:smallCaps/>
          <w:sz w:val="22"/>
          <w:szCs w:val="22"/>
        </w:rPr>
        <w:t xml:space="preserve"> II.</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lastRenderedPageBreak/>
        <w:t>Doba realizace</w:t>
      </w:r>
    </w:p>
    <w:p w:rsidR="0087116A" w:rsidRPr="00647DFD" w:rsidRDefault="0087116A" w:rsidP="0087116A"/>
    <w:p w:rsidR="0087116A" w:rsidRPr="00647DFD" w:rsidRDefault="0087116A" w:rsidP="0087116A">
      <w:pPr>
        <w:pStyle w:val="Zhlav"/>
        <w:numPr>
          <w:ilvl w:val="0"/>
          <w:numId w:val="20"/>
        </w:numPr>
        <w:tabs>
          <w:tab w:val="clear" w:pos="720"/>
          <w:tab w:val="clear" w:pos="4536"/>
          <w:tab w:val="clear" w:pos="9072"/>
        </w:tabs>
        <w:ind w:left="360"/>
        <w:jc w:val="both"/>
        <w:rPr>
          <w:rFonts w:cs="Arial"/>
          <w:szCs w:val="22"/>
        </w:rPr>
      </w:pPr>
      <w:r w:rsidRPr="00647DFD">
        <w:rPr>
          <w:rFonts w:cs="Arial"/>
          <w:szCs w:val="22"/>
        </w:rPr>
        <w:t xml:space="preserve">Projekt bude ukončen v souladu s podanou žádostí o dotaci (JID: </w:t>
      </w:r>
      <w:r w:rsidR="00E13BE9">
        <w:rPr>
          <w:rFonts w:cs="Arial"/>
          <w:szCs w:val="22"/>
        </w:rPr>
        <w:t>118484</w:t>
      </w:r>
      <w:r w:rsidRPr="00647DFD">
        <w:rPr>
          <w:rFonts w:cs="Arial"/>
          <w:szCs w:val="22"/>
        </w:rPr>
        <w:t>/202</w:t>
      </w:r>
      <w:r w:rsidR="00C74688">
        <w:rPr>
          <w:rFonts w:cs="Arial"/>
          <w:szCs w:val="22"/>
        </w:rPr>
        <w:t>5</w:t>
      </w:r>
      <w:r w:rsidR="00882739">
        <w:rPr>
          <w:rFonts w:cs="Arial"/>
          <w:szCs w:val="22"/>
        </w:rPr>
        <w:t xml:space="preserve">/muhb), a to nejpozději do </w:t>
      </w:r>
      <w:r w:rsidR="00E13BE9">
        <w:rPr>
          <w:rFonts w:cs="Arial"/>
          <w:szCs w:val="22"/>
        </w:rPr>
        <w:t>31. 12. 2026</w:t>
      </w:r>
      <w:r w:rsidRPr="00647DFD">
        <w:rPr>
          <w:rFonts w:cs="Arial"/>
          <w:szCs w:val="22"/>
        </w:rPr>
        <w:t>.</w:t>
      </w:r>
    </w:p>
    <w:p w:rsidR="0087116A" w:rsidRPr="00647DFD" w:rsidRDefault="0087116A" w:rsidP="0087116A">
      <w:pPr>
        <w:widowControl w:val="0"/>
        <w:spacing w:line="192" w:lineRule="atLeast"/>
        <w:ind w:left="360" w:right="72"/>
        <w:jc w:val="both"/>
        <w:rPr>
          <w:rFonts w:cs="Arial"/>
          <w:b/>
          <w:szCs w:val="22"/>
        </w:rPr>
      </w:pPr>
      <w:r w:rsidRPr="00647DFD">
        <w:rPr>
          <w:rFonts w:cs="Arial"/>
          <w:b/>
          <w:szCs w:val="22"/>
        </w:rPr>
        <w:t xml:space="preserve">Konečný termín pro vyčerpání poskytnutých finančních prostředků je stanoven nejpozději do </w:t>
      </w:r>
      <w:r w:rsidR="00E13BE9">
        <w:rPr>
          <w:rFonts w:cs="Arial"/>
          <w:b/>
          <w:szCs w:val="22"/>
        </w:rPr>
        <w:t>31. 12. 2026</w:t>
      </w:r>
      <w:r w:rsidRPr="00647DFD">
        <w:rPr>
          <w:rFonts w:cs="Arial"/>
          <w:b/>
          <w:szCs w:val="22"/>
        </w:rPr>
        <w:t>.</w:t>
      </w:r>
    </w:p>
    <w:p w:rsidR="0087116A" w:rsidRPr="00647DFD" w:rsidRDefault="0087116A" w:rsidP="0087116A">
      <w:pPr>
        <w:pStyle w:val="Zhlav"/>
        <w:numPr>
          <w:ilvl w:val="0"/>
          <w:numId w:val="20"/>
        </w:numPr>
        <w:tabs>
          <w:tab w:val="clear" w:pos="720"/>
          <w:tab w:val="clear" w:pos="4536"/>
          <w:tab w:val="clear" w:pos="9072"/>
        </w:tabs>
        <w:spacing w:before="60"/>
        <w:ind w:left="357" w:hanging="357"/>
        <w:jc w:val="both"/>
        <w:rPr>
          <w:rFonts w:cs="Arial"/>
          <w:szCs w:val="22"/>
        </w:rPr>
      </w:pPr>
      <w:r w:rsidRPr="00647DFD">
        <w:rPr>
          <w:rFonts w:cs="Arial"/>
          <w:szCs w:val="22"/>
        </w:rPr>
        <w:t>Doba platnosti návrhu této smlouvy je omezena na 30 kalendářních dnů od prokazatelného doručení návrhu příjemci. V případě pochybností se za doručený považuje 15. kalendářní den od odeslání.</w:t>
      </w:r>
    </w:p>
    <w:p w:rsidR="0087116A" w:rsidRPr="00647DFD" w:rsidRDefault="0087116A" w:rsidP="0087116A">
      <w:pPr>
        <w:pStyle w:val="Zhlav"/>
        <w:numPr>
          <w:ilvl w:val="0"/>
          <w:numId w:val="20"/>
        </w:numPr>
        <w:tabs>
          <w:tab w:val="clear" w:pos="720"/>
          <w:tab w:val="clear" w:pos="4536"/>
          <w:tab w:val="clear" w:pos="9072"/>
        </w:tabs>
        <w:spacing w:before="60"/>
        <w:ind w:left="357" w:hanging="357"/>
        <w:jc w:val="both"/>
        <w:rPr>
          <w:rFonts w:cs="Arial"/>
          <w:szCs w:val="22"/>
        </w:rPr>
      </w:pPr>
      <w:r w:rsidRPr="00647DFD">
        <w:rPr>
          <w:rFonts w:cs="Arial"/>
          <w:szCs w:val="22"/>
        </w:rPr>
        <w:t xml:space="preserve">Pokud návrh smlouvy města nebude příjemcem akceptován a podepsaný doručen na adresu města v termínu podle čl. II odst. 2 této smlouvy, návrh smlouvy zaniká a nárok na podporu nevznikne. V případě závažných důvodů je možno požádat o prodloužení termínu podpisu smlouvy </w:t>
      </w:r>
      <w:r w:rsidR="00C74688">
        <w:rPr>
          <w:rFonts w:cs="Arial"/>
          <w:szCs w:val="22"/>
        </w:rPr>
        <w:t>Oddělení sekretariátu a komunikace (f</w:t>
      </w:r>
      <w:r w:rsidRPr="00647DFD">
        <w:rPr>
          <w:rFonts w:cs="Arial"/>
          <w:szCs w:val="22"/>
        </w:rPr>
        <w:t>inanční podpor</w:t>
      </w:r>
      <w:r w:rsidR="00C74688">
        <w:rPr>
          <w:rFonts w:cs="Arial"/>
          <w:szCs w:val="22"/>
        </w:rPr>
        <w:t xml:space="preserve">y </w:t>
      </w:r>
      <w:r w:rsidRPr="00647DFD">
        <w:rPr>
          <w:rFonts w:cs="Arial"/>
          <w:szCs w:val="22"/>
        </w:rPr>
        <w:t>města</w:t>
      </w:r>
      <w:r w:rsidR="00C74688">
        <w:rPr>
          <w:rFonts w:cs="Arial"/>
          <w:szCs w:val="22"/>
        </w:rPr>
        <w:t>)</w:t>
      </w:r>
      <w:r w:rsidRPr="00647DFD">
        <w:rPr>
          <w:rFonts w:cs="Arial"/>
          <w:szCs w:val="22"/>
        </w:rPr>
        <w:t xml:space="preserve"> Městského úřadu Havlíčkův Brod. Tato žádost musí být písemně doručena na </w:t>
      </w:r>
      <w:r w:rsidR="00C74688">
        <w:rPr>
          <w:rFonts w:cs="Arial"/>
          <w:szCs w:val="22"/>
        </w:rPr>
        <w:t>oddělení sekretariátu a komunikace (f</w:t>
      </w:r>
      <w:r w:rsidR="00C74688" w:rsidRPr="00647DFD">
        <w:rPr>
          <w:rFonts w:cs="Arial"/>
          <w:szCs w:val="22"/>
        </w:rPr>
        <w:t>inanční podpor</w:t>
      </w:r>
      <w:r w:rsidR="00C74688">
        <w:rPr>
          <w:rFonts w:cs="Arial"/>
          <w:szCs w:val="22"/>
        </w:rPr>
        <w:t xml:space="preserve">y </w:t>
      </w:r>
      <w:r w:rsidR="00C74688" w:rsidRPr="00647DFD">
        <w:rPr>
          <w:rFonts w:cs="Arial"/>
          <w:szCs w:val="22"/>
        </w:rPr>
        <w:t>města</w:t>
      </w:r>
      <w:r w:rsidR="00C74688">
        <w:rPr>
          <w:rFonts w:cs="Arial"/>
          <w:szCs w:val="22"/>
        </w:rPr>
        <w:t>)</w:t>
      </w:r>
      <w:r w:rsidRPr="00647DFD">
        <w:rPr>
          <w:rFonts w:cs="Arial"/>
          <w:szCs w:val="22"/>
        </w:rPr>
        <w:t xml:space="preserve"> před uplynutím lhůty stanovené v čl. II odst. 2 této smlouvy.</w:t>
      </w: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pStyle w:val="NoteHead"/>
        <w:spacing w:after="0"/>
        <w:outlineLvl w:val="0"/>
        <w:rPr>
          <w:rFonts w:ascii="Arial" w:hAnsi="Arial" w:cs="Arial"/>
          <w:sz w:val="22"/>
          <w:szCs w:val="22"/>
        </w:rPr>
      </w:pPr>
      <w:r w:rsidRPr="00647DFD">
        <w:rPr>
          <w:rFonts w:ascii="Arial" w:hAnsi="Arial" w:cs="Arial"/>
          <w:sz w:val="22"/>
          <w:szCs w:val="22"/>
        </w:rPr>
        <w:t>Článek III.</w:t>
      </w:r>
    </w:p>
    <w:p w:rsidR="0087116A" w:rsidRPr="00647DFD" w:rsidRDefault="0087116A" w:rsidP="0087116A">
      <w:pPr>
        <w:pStyle w:val="Nadpis3"/>
        <w:spacing w:before="0" w:after="0"/>
        <w:jc w:val="center"/>
        <w:rPr>
          <w:sz w:val="22"/>
          <w:szCs w:val="22"/>
        </w:rPr>
      </w:pPr>
      <w:r w:rsidRPr="00647DFD">
        <w:rPr>
          <w:sz w:val="22"/>
          <w:szCs w:val="22"/>
        </w:rPr>
        <w:t>Platební a technické podmínky</w:t>
      </w:r>
    </w:p>
    <w:p w:rsidR="0087116A" w:rsidRPr="00647DFD" w:rsidRDefault="0087116A" w:rsidP="0087116A"/>
    <w:p w:rsidR="0087116A" w:rsidRPr="00647DFD" w:rsidRDefault="0087116A" w:rsidP="0087116A">
      <w:pPr>
        <w:numPr>
          <w:ilvl w:val="0"/>
          <w:numId w:val="36"/>
        </w:numPr>
        <w:jc w:val="both"/>
        <w:rPr>
          <w:rFonts w:cs="Arial"/>
          <w:szCs w:val="22"/>
        </w:rPr>
      </w:pPr>
      <w:r w:rsidRPr="00647DFD">
        <w:rPr>
          <w:rFonts w:cs="Arial"/>
          <w:b/>
          <w:szCs w:val="22"/>
        </w:rPr>
        <w:t xml:space="preserve">Podpora bude příjemci </w:t>
      </w:r>
      <w:r w:rsidRPr="00647DFD">
        <w:rPr>
          <w:rFonts w:cs="Arial"/>
          <w:szCs w:val="22"/>
        </w:rPr>
        <w:t xml:space="preserve">vyplacena na účet příjemce č. </w:t>
      </w:r>
      <w:r w:rsidR="006E504C">
        <w:t>XXXXXXXX</w:t>
      </w:r>
      <w:r w:rsidR="00882739" w:rsidRPr="00592506">
        <w:rPr>
          <w:rFonts w:cs="Arial"/>
          <w:b/>
          <w:szCs w:val="22"/>
        </w:rPr>
        <w:t xml:space="preserve"> </w:t>
      </w:r>
      <w:r w:rsidRPr="00647DFD">
        <w:rPr>
          <w:rFonts w:cs="Arial"/>
          <w:b/>
          <w:szCs w:val="22"/>
        </w:rPr>
        <w:t xml:space="preserve"> </w:t>
      </w:r>
      <w:r w:rsidRPr="00647DFD">
        <w:rPr>
          <w:rFonts w:cs="Arial"/>
          <w:szCs w:val="22"/>
        </w:rPr>
        <w:t>do 30 dnů od podpisu této smlouvy oběma smluvními stranami.</w:t>
      </w:r>
    </w:p>
    <w:p w:rsidR="0087116A" w:rsidRPr="00647DFD" w:rsidRDefault="0087116A" w:rsidP="0087116A">
      <w:pPr>
        <w:numPr>
          <w:ilvl w:val="0"/>
          <w:numId w:val="36"/>
        </w:numPr>
        <w:tabs>
          <w:tab w:val="num" w:pos="0"/>
        </w:tabs>
        <w:jc w:val="both"/>
        <w:rPr>
          <w:rFonts w:cs="Arial"/>
          <w:szCs w:val="22"/>
        </w:rPr>
      </w:pPr>
      <w:r w:rsidRPr="00647DFD">
        <w:rPr>
          <w:rFonts w:cs="Arial"/>
          <w:szCs w:val="22"/>
        </w:rPr>
        <w:t>Poskytovatel dotace si vyhrazuje právo na změnu termínu splátky s tím, že bude příjemce o této změně písemně informovat.</w:t>
      </w:r>
    </w:p>
    <w:p w:rsidR="0087116A" w:rsidRPr="00E050DA" w:rsidRDefault="0087116A" w:rsidP="00AD33CD">
      <w:pPr>
        <w:pStyle w:val="Zhlav"/>
        <w:numPr>
          <w:ilvl w:val="0"/>
          <w:numId w:val="36"/>
        </w:numPr>
        <w:tabs>
          <w:tab w:val="clear" w:pos="4536"/>
          <w:tab w:val="clear" w:pos="9072"/>
          <w:tab w:val="num" w:pos="360"/>
        </w:tabs>
        <w:jc w:val="both"/>
        <w:rPr>
          <w:szCs w:val="22"/>
        </w:rPr>
      </w:pPr>
      <w:r w:rsidRPr="00E050DA">
        <w:rPr>
          <w:rFonts w:cs="Arial"/>
          <w:b/>
          <w:szCs w:val="22"/>
        </w:rPr>
        <w:t>Závěrečné vyúčtování poskytnuté dotace a závěrečná zpráva budou předloženy</w:t>
      </w:r>
      <w:r w:rsidRPr="00E050DA">
        <w:rPr>
          <w:rFonts w:cs="Arial"/>
          <w:szCs w:val="22"/>
        </w:rPr>
        <w:t xml:space="preserve"> na předepsaném formuláři </w:t>
      </w:r>
      <w:hyperlink r:id="rId7" w:history="1">
        <w:r w:rsidRPr="00E050DA">
          <w:rPr>
            <w:rStyle w:val="Hypertextovodkaz"/>
            <w:bCs/>
            <w:color w:val="auto"/>
            <w:u w:val="none"/>
          </w:rPr>
          <w:t>Závěrečné vyúčtování celkových nákladů projektu</w:t>
        </w:r>
      </w:hyperlink>
      <w:r w:rsidRPr="00E050DA">
        <w:rPr>
          <w:rFonts w:cs="Arial"/>
          <w:szCs w:val="22"/>
        </w:rPr>
        <w:t xml:space="preserve"> (město příjemci formulář na požádání poskytne nebo je k dispozici v elektronické podobě na webových stránkách města </w:t>
      </w:r>
      <w:r w:rsidR="00C74688" w:rsidRPr="00E050DA">
        <w:rPr>
          <w:rFonts w:cs="Arial"/>
          <w:szCs w:val="22"/>
        </w:rPr>
        <w:t xml:space="preserve">Programy a dotace - </w:t>
      </w:r>
      <w:r w:rsidR="00E050DA" w:rsidRPr="00E050DA">
        <w:rPr>
          <w:rFonts w:cs="Arial"/>
          <w:szCs w:val="22"/>
        </w:rPr>
        <w:t>Finanční</w:t>
      </w:r>
      <w:r w:rsidRPr="00E050DA">
        <w:rPr>
          <w:rFonts w:cs="Arial"/>
          <w:szCs w:val="22"/>
        </w:rPr>
        <w:t xml:space="preserve"> podpory z rozpočtu města</w:t>
      </w:r>
      <w:r w:rsidR="00E050DA" w:rsidRPr="00E050DA">
        <w:rPr>
          <w:rFonts w:cs="Arial"/>
          <w:szCs w:val="22"/>
        </w:rPr>
        <w:t xml:space="preserve"> - Dokumenty pro rok 202</w:t>
      </w:r>
      <w:r w:rsidR="00E13BE9">
        <w:rPr>
          <w:rFonts w:cs="Arial"/>
          <w:szCs w:val="22"/>
        </w:rPr>
        <w:t>6</w:t>
      </w:r>
      <w:r w:rsidRPr="00E050DA">
        <w:rPr>
          <w:rFonts w:cs="Arial"/>
          <w:szCs w:val="22"/>
        </w:rPr>
        <w:t xml:space="preserve">), a to </w:t>
      </w:r>
      <w:r w:rsidRPr="00E050DA">
        <w:rPr>
          <w:rFonts w:cs="Arial"/>
          <w:b/>
          <w:szCs w:val="22"/>
        </w:rPr>
        <w:t>nejpozději</w:t>
      </w:r>
      <w:r w:rsidRPr="00E050DA">
        <w:rPr>
          <w:rFonts w:cs="Arial"/>
          <w:szCs w:val="22"/>
        </w:rPr>
        <w:t xml:space="preserve"> </w:t>
      </w:r>
      <w:r w:rsidRPr="00E050DA">
        <w:rPr>
          <w:rFonts w:cs="Arial"/>
          <w:b/>
          <w:szCs w:val="22"/>
        </w:rPr>
        <w:t xml:space="preserve">do </w:t>
      </w:r>
      <w:r w:rsidR="00E13BE9">
        <w:rPr>
          <w:rFonts w:cs="Arial"/>
          <w:b/>
          <w:szCs w:val="22"/>
        </w:rPr>
        <w:t>31. 1. 2027</w:t>
      </w:r>
      <w:r w:rsidRPr="00E050DA">
        <w:rPr>
          <w:rFonts w:cs="Arial"/>
          <w:b/>
          <w:szCs w:val="22"/>
        </w:rPr>
        <w:t xml:space="preserve"> </w:t>
      </w:r>
      <w:r w:rsidRPr="00E050DA">
        <w:rPr>
          <w:rFonts w:cs="Arial"/>
          <w:szCs w:val="22"/>
        </w:rPr>
        <w:t xml:space="preserve">na adresu města, </w:t>
      </w:r>
      <w:r w:rsidR="00E050DA">
        <w:rPr>
          <w:rFonts w:cs="Arial"/>
          <w:szCs w:val="22"/>
        </w:rPr>
        <w:t>oddělení sekretariátu a komunikace</w:t>
      </w:r>
      <w:r w:rsidRPr="00E050DA">
        <w:rPr>
          <w:rFonts w:cs="Arial"/>
          <w:szCs w:val="22"/>
        </w:rPr>
        <w:t xml:space="preserve">. </w:t>
      </w:r>
    </w:p>
    <w:p w:rsidR="0087116A" w:rsidRPr="00647DFD" w:rsidRDefault="0087116A" w:rsidP="0087116A">
      <w:pPr>
        <w:pStyle w:val="Zhlav"/>
        <w:tabs>
          <w:tab w:val="clear" w:pos="4536"/>
          <w:tab w:val="clear" w:pos="9072"/>
        </w:tabs>
        <w:ind w:left="360"/>
        <w:jc w:val="both"/>
        <w:rPr>
          <w:szCs w:val="22"/>
        </w:rPr>
      </w:pPr>
      <w:r w:rsidRPr="00647DFD">
        <w:rPr>
          <w:szCs w:val="22"/>
        </w:rPr>
        <w:t xml:space="preserve">Rozhodující je datum přijetí podatelnou MÚ Havlíčkův Brod.  </w:t>
      </w:r>
    </w:p>
    <w:p w:rsidR="0087116A" w:rsidRPr="00647DFD" w:rsidRDefault="0087116A" w:rsidP="0087116A">
      <w:pPr>
        <w:pStyle w:val="Zhlav"/>
        <w:tabs>
          <w:tab w:val="clear" w:pos="4536"/>
          <w:tab w:val="clear" w:pos="9072"/>
        </w:tabs>
        <w:ind w:left="357"/>
        <w:jc w:val="both"/>
        <w:rPr>
          <w:rFonts w:cs="Arial"/>
          <w:szCs w:val="22"/>
        </w:rPr>
      </w:pPr>
      <w:r w:rsidRPr="00647DFD">
        <w:rPr>
          <w:rFonts w:cs="Arial"/>
          <w:szCs w:val="22"/>
        </w:rPr>
        <w:lastRenderedPageBreak/>
        <w:t xml:space="preserve">Spolu se závěrečným vyúčtováním projektu budou předloženy </w:t>
      </w:r>
      <w:r w:rsidRPr="00647DFD">
        <w:rPr>
          <w:rFonts w:cs="Arial"/>
          <w:b/>
          <w:szCs w:val="22"/>
        </w:rPr>
        <w:t>kopie dokladů</w:t>
      </w:r>
      <w:r w:rsidRPr="00647DFD">
        <w:rPr>
          <w:rFonts w:cs="Arial"/>
          <w:szCs w:val="22"/>
        </w:rPr>
        <w:t xml:space="preserve"> </w:t>
      </w:r>
      <w:r w:rsidRPr="00647DFD">
        <w:rPr>
          <w:b/>
          <w:szCs w:val="22"/>
        </w:rPr>
        <w:t xml:space="preserve">prvotních účetních dokladů </w:t>
      </w:r>
      <w:r w:rsidRPr="00647DFD">
        <w:rPr>
          <w:rFonts w:cs="Arial"/>
          <w:b/>
          <w:szCs w:val="22"/>
        </w:rPr>
        <w:t>včetně bankovních výpisů prokazujících jejich úhradu</w:t>
      </w:r>
      <w:r w:rsidRPr="00647DFD">
        <w:rPr>
          <w:rFonts w:cs="Arial"/>
          <w:szCs w:val="22"/>
        </w:rPr>
        <w:t xml:space="preserve">. </w:t>
      </w:r>
      <w:r w:rsidRPr="00647DFD">
        <w:rPr>
          <w:szCs w:val="22"/>
        </w:rPr>
        <w:t xml:space="preserve">Prvotní doklady prokazující výdaje (náklady) </w:t>
      </w:r>
      <w:r w:rsidRPr="00647DFD">
        <w:rPr>
          <w:bCs/>
          <w:szCs w:val="22"/>
        </w:rPr>
        <w:t>musí být označeny účelovým znakem, ve tvaru „HB-FP/příslušný kalendářní rok“</w:t>
      </w:r>
      <w:r w:rsidRPr="00647DFD">
        <w:rPr>
          <w:szCs w:val="22"/>
        </w:rPr>
        <w:t>.</w:t>
      </w:r>
    </w:p>
    <w:p w:rsidR="0087116A" w:rsidRPr="00647DFD" w:rsidRDefault="0087116A" w:rsidP="0087116A">
      <w:pPr>
        <w:pStyle w:val="Zhlav"/>
        <w:numPr>
          <w:ilvl w:val="0"/>
          <w:numId w:val="36"/>
        </w:numPr>
        <w:tabs>
          <w:tab w:val="clear" w:pos="4536"/>
          <w:tab w:val="clear" w:pos="9072"/>
          <w:tab w:val="num" w:pos="360"/>
        </w:tabs>
        <w:jc w:val="both"/>
        <w:rPr>
          <w:szCs w:val="22"/>
        </w:rPr>
      </w:pPr>
      <w:r w:rsidRPr="00647DFD">
        <w:rPr>
          <w:b/>
          <w:szCs w:val="22"/>
        </w:rPr>
        <w:t>V případě nevyčerpání celé výše finanční podpory nebo neuskutečnění podpořeného projektu je příjemce povinen zůstatek / celou část poskytnuté finanční podpory vrátit</w:t>
      </w:r>
      <w:r w:rsidRPr="00647DFD">
        <w:rPr>
          <w:szCs w:val="22"/>
        </w:rPr>
        <w:t xml:space="preserve"> </w:t>
      </w:r>
      <w:r w:rsidRPr="00647DFD">
        <w:rPr>
          <w:b/>
          <w:szCs w:val="22"/>
        </w:rPr>
        <w:t xml:space="preserve">zpět </w:t>
      </w:r>
      <w:r w:rsidRPr="00647DFD">
        <w:rPr>
          <w:szCs w:val="22"/>
        </w:rPr>
        <w:t>na účet města Havlíčkův Brod, a to do 30 kalendářních dnů ode dne zjištění této skutečnosti. Odůvodnění této skutečnosti bude uvedeno ve formuláři závěrečného vyúčtování.</w:t>
      </w:r>
    </w:p>
    <w:p w:rsidR="0087116A" w:rsidRPr="00647DFD" w:rsidRDefault="0087116A" w:rsidP="0087116A">
      <w:pPr>
        <w:widowControl w:val="0"/>
        <w:ind w:left="360" w:right="72"/>
        <w:jc w:val="both"/>
        <w:rPr>
          <w:rFonts w:cs="Arial"/>
          <w:szCs w:val="22"/>
        </w:rPr>
      </w:pPr>
      <w:r w:rsidRPr="00647DFD">
        <w:rPr>
          <w:rFonts w:cs="Arial"/>
          <w:szCs w:val="22"/>
        </w:rPr>
        <w:t>Nevyčerpané finanční prostředky dotace příjemce poukáže ihned po předání vyúčtování dotace, nejpozději však do 3</w:t>
      </w:r>
      <w:r w:rsidR="003615FE">
        <w:rPr>
          <w:rFonts w:cs="Arial"/>
          <w:szCs w:val="22"/>
        </w:rPr>
        <w:t>1</w:t>
      </w:r>
      <w:r w:rsidRPr="00647DFD">
        <w:rPr>
          <w:rFonts w:cs="Arial"/>
          <w:szCs w:val="22"/>
        </w:rPr>
        <w:t>. 1. 202</w:t>
      </w:r>
      <w:r w:rsidR="00E13BE9">
        <w:rPr>
          <w:rFonts w:cs="Arial"/>
          <w:szCs w:val="22"/>
        </w:rPr>
        <w:t>7</w:t>
      </w:r>
      <w:r w:rsidRPr="00647DFD">
        <w:rPr>
          <w:rFonts w:cs="Arial"/>
          <w:szCs w:val="22"/>
        </w:rPr>
        <w:t>, na účet poskytovatele a to:</w:t>
      </w:r>
    </w:p>
    <w:p w:rsidR="0087116A" w:rsidRPr="00647DFD" w:rsidRDefault="0087116A" w:rsidP="006E504C">
      <w:pPr>
        <w:widowControl w:val="0"/>
        <w:numPr>
          <w:ilvl w:val="1"/>
          <w:numId w:val="16"/>
        </w:numPr>
        <w:ind w:right="72"/>
        <w:jc w:val="both"/>
        <w:rPr>
          <w:rFonts w:cs="Arial"/>
          <w:szCs w:val="22"/>
        </w:rPr>
      </w:pPr>
      <w:r w:rsidRPr="00647DFD">
        <w:rPr>
          <w:rFonts w:cs="Arial"/>
          <w:szCs w:val="22"/>
        </w:rPr>
        <w:t>jsou-li nevyčerpané finanční prostředky vraceny do 3</w:t>
      </w:r>
      <w:r w:rsidR="00E13BE9">
        <w:rPr>
          <w:rFonts w:cs="Arial"/>
          <w:szCs w:val="22"/>
        </w:rPr>
        <w:t>1</w:t>
      </w:r>
      <w:r w:rsidRPr="00647DFD">
        <w:rPr>
          <w:rFonts w:cs="Arial"/>
          <w:szCs w:val="22"/>
        </w:rPr>
        <w:t>. 12. 202</w:t>
      </w:r>
      <w:r w:rsidR="00E13BE9">
        <w:rPr>
          <w:rFonts w:cs="Arial"/>
          <w:szCs w:val="22"/>
        </w:rPr>
        <w:t>6</w:t>
      </w:r>
      <w:r w:rsidRPr="00647DFD">
        <w:rPr>
          <w:rFonts w:cs="Arial"/>
          <w:szCs w:val="22"/>
        </w:rPr>
        <w:t xml:space="preserve">, poukáže příjemce tyto prostředky na číslo účtu </w:t>
      </w:r>
      <w:r w:rsidR="006E504C">
        <w:t>XXXXXXXX</w:t>
      </w:r>
      <w:r w:rsidRPr="00647DFD">
        <w:rPr>
          <w:rFonts w:cs="Arial"/>
          <w:szCs w:val="22"/>
        </w:rPr>
        <w:t xml:space="preserve"> vedeného u Komerční banky a.s., pod v. s. </w:t>
      </w:r>
      <w:r w:rsidR="006E504C">
        <w:t>XXXXXXXX</w:t>
      </w:r>
    </w:p>
    <w:p w:rsidR="0087116A" w:rsidRPr="00647DFD" w:rsidRDefault="0087116A" w:rsidP="006E504C">
      <w:pPr>
        <w:widowControl w:val="0"/>
        <w:numPr>
          <w:ilvl w:val="1"/>
          <w:numId w:val="16"/>
        </w:numPr>
        <w:ind w:right="72"/>
        <w:jc w:val="both"/>
        <w:rPr>
          <w:rFonts w:cs="Arial"/>
          <w:szCs w:val="22"/>
        </w:rPr>
      </w:pPr>
      <w:r w:rsidRPr="00647DFD">
        <w:rPr>
          <w:rFonts w:cs="Arial"/>
          <w:szCs w:val="22"/>
        </w:rPr>
        <w:t>jsou-li nevyčerpané finanční prostředky vraceny až po 31. 12. 202</w:t>
      </w:r>
      <w:r w:rsidR="00E13BE9">
        <w:rPr>
          <w:rFonts w:cs="Arial"/>
          <w:szCs w:val="22"/>
        </w:rPr>
        <w:t>6</w:t>
      </w:r>
      <w:r w:rsidRPr="00647DFD">
        <w:rPr>
          <w:rFonts w:cs="Arial"/>
          <w:szCs w:val="22"/>
        </w:rPr>
        <w:t xml:space="preserve"> (nejpozději však do 31. 1. 202</w:t>
      </w:r>
      <w:r w:rsidR="00E13BE9">
        <w:rPr>
          <w:rFonts w:cs="Arial"/>
          <w:szCs w:val="22"/>
        </w:rPr>
        <w:t>7</w:t>
      </w:r>
      <w:r w:rsidRPr="00647DFD">
        <w:rPr>
          <w:rFonts w:cs="Arial"/>
          <w:szCs w:val="22"/>
        </w:rPr>
        <w:t xml:space="preserve">), poukáže je příjemce na číslo účtu </w:t>
      </w:r>
      <w:r w:rsidR="006E504C">
        <w:t>XXXXXXXX</w:t>
      </w:r>
      <w:r w:rsidRPr="00647DFD">
        <w:rPr>
          <w:rFonts w:cs="Arial"/>
          <w:szCs w:val="22"/>
        </w:rPr>
        <w:t xml:space="preserve"> vedeného u Komerční banky a.s., pod v. s. </w:t>
      </w:r>
      <w:r w:rsidR="006E504C">
        <w:t>XXXXXXXX</w:t>
      </w:r>
    </w:p>
    <w:p w:rsidR="0087116A" w:rsidRPr="00647DFD" w:rsidRDefault="0087116A" w:rsidP="0087116A">
      <w:pPr>
        <w:pStyle w:val="Zhlav"/>
        <w:numPr>
          <w:ilvl w:val="0"/>
          <w:numId w:val="36"/>
        </w:numPr>
        <w:tabs>
          <w:tab w:val="clear" w:pos="4536"/>
          <w:tab w:val="clear" w:pos="9072"/>
          <w:tab w:val="num" w:pos="360"/>
        </w:tabs>
        <w:jc w:val="both"/>
        <w:rPr>
          <w:rFonts w:cs="Arial"/>
          <w:szCs w:val="22"/>
        </w:rPr>
      </w:pPr>
      <w:r w:rsidRPr="00647DFD">
        <w:rPr>
          <w:rFonts w:cs="Arial"/>
          <w:szCs w:val="22"/>
        </w:rPr>
        <w:t>Výše podpory uvedená v čl. I odst. 2 této smlouvy je maximální. Pokud skutečné celkové náklady projektu překročí celkovou předpokládanou výši nákladů, tedy základ pro stanovení výše podpory, uhradí příjemce částku tohoto překročení z vlastních zdrojů. Pokud budou skutečné celkové náklady projektu nižší než základ pro stanovení výše podpory, procentní podíl podpory města se nemění, tzn., že absolutní částka podpory se úměrně sníží.</w:t>
      </w:r>
    </w:p>
    <w:p w:rsidR="0087116A" w:rsidRPr="00647DFD" w:rsidRDefault="0087116A" w:rsidP="0087116A">
      <w:pPr>
        <w:pStyle w:val="Zhlav"/>
        <w:tabs>
          <w:tab w:val="clear" w:pos="4536"/>
          <w:tab w:val="clear" w:pos="9072"/>
        </w:tabs>
        <w:ind w:left="360"/>
        <w:rPr>
          <w:rFonts w:cs="Arial"/>
          <w:szCs w:val="22"/>
        </w:rPr>
      </w:pPr>
    </w:p>
    <w:p w:rsidR="0087116A" w:rsidRPr="00647DFD" w:rsidRDefault="0087116A" w:rsidP="0087116A">
      <w:pPr>
        <w:pStyle w:val="Zkladntext"/>
        <w:ind w:left="360" w:hanging="360"/>
        <w:rPr>
          <w:rFonts w:cs="Arial"/>
          <w:szCs w:val="22"/>
        </w:rPr>
      </w:pPr>
    </w:p>
    <w:p w:rsidR="0087116A" w:rsidRPr="00647DFD" w:rsidRDefault="0087116A" w:rsidP="0087116A">
      <w:pPr>
        <w:pStyle w:val="Zkladntext"/>
        <w:jc w:val="center"/>
        <w:outlineLvl w:val="0"/>
        <w:rPr>
          <w:rFonts w:cs="Arial"/>
          <w:szCs w:val="22"/>
        </w:rPr>
      </w:pPr>
      <w:r w:rsidRPr="00647DFD">
        <w:rPr>
          <w:rFonts w:cs="Arial"/>
          <w:b/>
          <w:bCs/>
          <w:szCs w:val="22"/>
        </w:rPr>
        <w:t>Článek IV.</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Základní povinnosti příjemce</w:t>
      </w:r>
    </w:p>
    <w:p w:rsidR="0087116A" w:rsidRPr="00647DFD" w:rsidRDefault="0087116A" w:rsidP="0087116A"/>
    <w:p w:rsidR="0087116A" w:rsidRPr="00647DFD" w:rsidRDefault="0087116A" w:rsidP="0087116A">
      <w:pPr>
        <w:jc w:val="both"/>
        <w:rPr>
          <w:rFonts w:cs="Arial"/>
          <w:szCs w:val="22"/>
        </w:rPr>
      </w:pPr>
      <w:r w:rsidRPr="00647DFD">
        <w:rPr>
          <w:rFonts w:cs="Arial"/>
          <w:szCs w:val="22"/>
        </w:rPr>
        <w:t>Příjemce se zavazuje:</w:t>
      </w:r>
    </w:p>
    <w:p w:rsidR="0087116A" w:rsidRPr="00647DFD" w:rsidRDefault="0087116A" w:rsidP="0087116A">
      <w:pPr>
        <w:numPr>
          <w:ilvl w:val="0"/>
          <w:numId w:val="29"/>
        </w:numPr>
        <w:jc w:val="both"/>
        <w:rPr>
          <w:rFonts w:cs="Arial"/>
          <w:szCs w:val="22"/>
        </w:rPr>
      </w:pPr>
      <w:r w:rsidRPr="00647DFD">
        <w:rPr>
          <w:rFonts w:cs="Arial"/>
          <w:szCs w:val="22"/>
        </w:rPr>
        <w:t xml:space="preserve">Uhradit svůj podíl celkových nákladů projektu uvedený v čl. I této smlouvy. </w:t>
      </w:r>
    </w:p>
    <w:p w:rsidR="0087116A" w:rsidRPr="00647DFD" w:rsidRDefault="0087116A" w:rsidP="0087116A">
      <w:pPr>
        <w:numPr>
          <w:ilvl w:val="0"/>
          <w:numId w:val="29"/>
        </w:numPr>
        <w:jc w:val="both"/>
        <w:rPr>
          <w:rFonts w:cs="Arial"/>
          <w:szCs w:val="22"/>
        </w:rPr>
      </w:pPr>
      <w:r w:rsidRPr="00647DFD">
        <w:rPr>
          <w:rFonts w:cs="Arial"/>
          <w:szCs w:val="22"/>
        </w:rPr>
        <w:t xml:space="preserve">Poskytnutou podporu přijmout a použít bez zbytečného odkladu výhradně k účelu realizace projektu uvedeného v čl. I odst. 2 této smlouvy. </w:t>
      </w:r>
    </w:p>
    <w:p w:rsidR="0087116A" w:rsidRPr="00647DFD" w:rsidRDefault="0087116A" w:rsidP="0087116A">
      <w:pPr>
        <w:numPr>
          <w:ilvl w:val="0"/>
          <w:numId w:val="29"/>
        </w:numPr>
        <w:jc w:val="both"/>
        <w:rPr>
          <w:rFonts w:cs="Arial"/>
          <w:szCs w:val="22"/>
        </w:rPr>
      </w:pPr>
      <w:r w:rsidRPr="00647DFD">
        <w:rPr>
          <w:rFonts w:cs="Arial"/>
          <w:szCs w:val="22"/>
        </w:rPr>
        <w:lastRenderedPageBreak/>
        <w:t xml:space="preserve">Řídit se podmínkami stanovenými v této smlouvě, dodržet podmínky realizace projektu uvedené v Žádosti o poskytnutí podpory evidovanou pod JID: </w:t>
      </w:r>
      <w:r w:rsidR="00E13BE9">
        <w:rPr>
          <w:rFonts w:cs="Arial"/>
          <w:szCs w:val="22"/>
        </w:rPr>
        <w:t>118484</w:t>
      </w:r>
      <w:r w:rsidRPr="00647DFD">
        <w:rPr>
          <w:rFonts w:cs="Arial"/>
          <w:szCs w:val="22"/>
        </w:rPr>
        <w:t>/202</w:t>
      </w:r>
      <w:r w:rsidR="00E050DA">
        <w:rPr>
          <w:rFonts w:cs="Arial"/>
          <w:szCs w:val="22"/>
        </w:rPr>
        <w:t>5</w:t>
      </w:r>
      <w:r w:rsidRPr="00647DFD">
        <w:rPr>
          <w:rFonts w:cs="Arial"/>
          <w:szCs w:val="22"/>
        </w:rPr>
        <w:t>/muhb.</w:t>
      </w:r>
    </w:p>
    <w:p w:rsidR="0087116A" w:rsidRPr="00647DFD" w:rsidRDefault="0087116A" w:rsidP="0087116A">
      <w:pPr>
        <w:numPr>
          <w:ilvl w:val="0"/>
          <w:numId w:val="29"/>
        </w:numPr>
        <w:jc w:val="both"/>
        <w:rPr>
          <w:rFonts w:cs="Arial"/>
          <w:szCs w:val="22"/>
        </w:rPr>
      </w:pPr>
      <w:r w:rsidRPr="00647DFD">
        <w:rPr>
          <w:rFonts w:cs="Arial"/>
          <w:szCs w:val="22"/>
        </w:rPr>
        <w:t xml:space="preserve">Ve smyslu ustanovení § 13, odst. 1, písm. c) zákona č. 563/1991 Sb., o účetnictví vést o poskytnuté podpoře (prostředcích veřejného rozpočtu) oddělenou analytickou evidenci ve svém účetnictví (a to i když podle stejného zákona vede podle § </w:t>
      </w:r>
      <w:smartTag w:uri="urn:schemas-microsoft-com:office:smarttags" w:element="metricconverter">
        <w:smartTagPr>
          <w:attr w:name="ProductID" w:val="13 a"/>
        </w:smartTagPr>
        <w:r w:rsidRPr="00647DFD">
          <w:rPr>
            <w:rFonts w:cs="Arial"/>
            <w:szCs w:val="22"/>
          </w:rPr>
          <w:t>13 a</w:t>
        </w:r>
      </w:smartTag>
      <w:r w:rsidRPr="00647DFD">
        <w:rPr>
          <w:rFonts w:cs="Arial"/>
          <w:szCs w:val="22"/>
        </w:rPr>
        <w:t>) jen zjednodušenou účetní evidenci). Příjemce, který není účetní jednotkou, se zavazuje o použití podpory (prostředků z veřejného rozpočtu) vést průkaznou evidenci, umožňující kontrolu. Zjištěné porušení tohoto závazku je hrubým porušením této smlouvy a příjemce je v takovém případě povinen prostředky rozpočtu města vrátit včetně sankce podle § 22 zákona         č. 250/2000 Sb., o rozpočtových pravidlech, v platném znění.</w:t>
      </w:r>
    </w:p>
    <w:p w:rsidR="0087116A" w:rsidRPr="00647DFD" w:rsidRDefault="0087116A" w:rsidP="0087116A">
      <w:pPr>
        <w:numPr>
          <w:ilvl w:val="0"/>
          <w:numId w:val="29"/>
        </w:numPr>
        <w:jc w:val="both"/>
        <w:rPr>
          <w:rFonts w:cs="Arial"/>
          <w:szCs w:val="22"/>
        </w:rPr>
      </w:pPr>
      <w:r w:rsidRPr="00647DFD">
        <w:rPr>
          <w:rFonts w:cs="Arial"/>
          <w:szCs w:val="22"/>
        </w:rPr>
        <w:t>Prokázat úhradu celkových nákladů projektu, a to buď výpisem ze svého bankovního účtu, nebo svými pokladními doklady, přičemž úhrada musí bezprostředně souviset s dobou ukončení realizace projektu.</w:t>
      </w:r>
    </w:p>
    <w:p w:rsidR="0087116A" w:rsidRPr="00647DFD" w:rsidRDefault="0087116A" w:rsidP="0087116A">
      <w:pPr>
        <w:numPr>
          <w:ilvl w:val="0"/>
          <w:numId w:val="29"/>
        </w:numPr>
        <w:jc w:val="both"/>
        <w:rPr>
          <w:rFonts w:cs="Arial"/>
          <w:szCs w:val="22"/>
        </w:rPr>
      </w:pPr>
      <w:r w:rsidRPr="00647DFD">
        <w:rPr>
          <w:rFonts w:cs="Arial"/>
          <w:szCs w:val="22"/>
        </w:rPr>
        <w:t xml:space="preserve">Archivovat účetní doklady prokazující čerpání podpory po dobu 5 let od data podání závěrečného vyúčtování. Stanoví-li nějaký právní předpis lhůtu delší, použije se tato delší lhůta. </w:t>
      </w:r>
    </w:p>
    <w:p w:rsidR="0087116A" w:rsidRPr="00647DFD" w:rsidRDefault="0087116A" w:rsidP="0087116A">
      <w:pPr>
        <w:numPr>
          <w:ilvl w:val="0"/>
          <w:numId w:val="29"/>
        </w:numPr>
        <w:jc w:val="both"/>
        <w:rPr>
          <w:rFonts w:cs="Arial"/>
          <w:szCs w:val="22"/>
        </w:rPr>
      </w:pPr>
      <w:r w:rsidRPr="00647DFD">
        <w:rPr>
          <w:rFonts w:cs="Arial"/>
          <w:szCs w:val="22"/>
        </w:rPr>
        <w:t xml:space="preserve">Poskytnutou podporu využít pouze na náklady spojené s realizací projektu a vynaložené v průběhu realizace projektu, při respektování zásad zdravého finančního řízení, zejména efektivnosti, hospodárnosti a účelnosti. </w:t>
      </w:r>
    </w:p>
    <w:p w:rsidR="0087116A" w:rsidRPr="00647DFD" w:rsidRDefault="0087116A" w:rsidP="0087116A">
      <w:pPr>
        <w:numPr>
          <w:ilvl w:val="0"/>
          <w:numId w:val="29"/>
        </w:numPr>
        <w:jc w:val="both"/>
        <w:rPr>
          <w:rFonts w:cs="Arial"/>
          <w:szCs w:val="22"/>
        </w:rPr>
      </w:pPr>
      <w:r w:rsidRPr="00647DFD">
        <w:rPr>
          <w:rFonts w:cs="Arial"/>
          <w:szCs w:val="22"/>
        </w:rPr>
        <w:t>Zajistit řádnou realizaci projektu dle smluv uzavřených s dodavatelem (dodavateli) vybraným na základě zákona č. 134/2016 Sb., o zadávání veřejných zakázek, ve znění pozdějších předpisů, je-li zadavatelem podle tohoto zákona.</w:t>
      </w:r>
    </w:p>
    <w:p w:rsidR="0087116A" w:rsidRPr="00647DFD" w:rsidRDefault="0087116A" w:rsidP="0087116A">
      <w:pPr>
        <w:numPr>
          <w:ilvl w:val="0"/>
          <w:numId w:val="29"/>
        </w:numPr>
        <w:jc w:val="both"/>
        <w:rPr>
          <w:rFonts w:cs="Arial"/>
          <w:szCs w:val="22"/>
        </w:rPr>
      </w:pPr>
      <w:r w:rsidRPr="00647DFD">
        <w:rPr>
          <w:rFonts w:cs="Arial"/>
          <w:szCs w:val="22"/>
        </w:rPr>
        <w:t>Ve smlouvě s dodavatelem (dodavateli) uvést skutečnost, že dle § 2e) zákona č. 320/2001 Sb. o finanční kontrole, ve znění pozdějších předpisů, je dodavatel osobou povinnou spolupůsobit při výkonu finanční kontroly.</w:t>
      </w:r>
    </w:p>
    <w:p w:rsidR="0087116A" w:rsidRPr="00647DFD" w:rsidRDefault="0087116A" w:rsidP="0087116A">
      <w:pPr>
        <w:numPr>
          <w:ilvl w:val="0"/>
          <w:numId w:val="29"/>
        </w:numPr>
        <w:jc w:val="both"/>
        <w:rPr>
          <w:rFonts w:cs="Arial"/>
          <w:szCs w:val="22"/>
        </w:rPr>
      </w:pPr>
      <w:r w:rsidRPr="00647DFD">
        <w:rPr>
          <w:rFonts w:cs="Arial"/>
          <w:szCs w:val="22"/>
        </w:rPr>
        <w:t>Zajistit, aby smlouva s dodavatelem (dodavateli) měla obsah plnění shodný s obsahem projektu definovaným v předložené žádosti.</w:t>
      </w:r>
    </w:p>
    <w:p w:rsidR="0087116A" w:rsidRPr="00647DFD" w:rsidRDefault="0087116A" w:rsidP="0087116A">
      <w:pPr>
        <w:numPr>
          <w:ilvl w:val="0"/>
          <w:numId w:val="29"/>
        </w:numPr>
        <w:jc w:val="both"/>
        <w:rPr>
          <w:rFonts w:cs="Arial"/>
          <w:szCs w:val="22"/>
        </w:rPr>
      </w:pPr>
      <w:r w:rsidRPr="00647DFD">
        <w:rPr>
          <w:rFonts w:cs="Arial"/>
          <w:szCs w:val="22"/>
        </w:rPr>
        <w:t>Poskytnutou podporu nepřevést na jiný subjekt.</w:t>
      </w:r>
    </w:p>
    <w:p w:rsidR="0087116A" w:rsidRPr="00647DFD" w:rsidRDefault="0087116A" w:rsidP="0087116A">
      <w:pPr>
        <w:numPr>
          <w:ilvl w:val="0"/>
          <w:numId w:val="29"/>
        </w:numPr>
        <w:jc w:val="both"/>
        <w:rPr>
          <w:rFonts w:cs="Arial"/>
          <w:szCs w:val="22"/>
        </w:rPr>
      </w:pPr>
      <w:r w:rsidRPr="00647DFD">
        <w:rPr>
          <w:rFonts w:cs="Arial"/>
          <w:szCs w:val="22"/>
        </w:rPr>
        <w:t xml:space="preserve">Zajistit, aby do celkových nákladů na projekt nebyly zahrnuty náklady na daň z přidané hodnoty příjemce (platí pro plátce DPH, pokud má </w:t>
      </w:r>
      <w:r w:rsidRPr="00647DFD">
        <w:rPr>
          <w:rFonts w:cs="Arial"/>
          <w:bCs/>
          <w:szCs w:val="22"/>
        </w:rPr>
        <w:t xml:space="preserve">u zdanitelných plnění přijatých v souvislosti s financováním daného projektu nárok na </w:t>
      </w:r>
      <w:r w:rsidRPr="00647DFD">
        <w:rPr>
          <w:rFonts w:cs="Arial"/>
          <w:bCs/>
          <w:szCs w:val="22"/>
        </w:rPr>
        <w:lastRenderedPageBreak/>
        <w:t>odpočet daně z přidané hodnoty – v plné výši nebo krácený nebo v poměrné výši</w:t>
      </w:r>
      <w:r w:rsidRPr="00647DFD">
        <w:rPr>
          <w:rFonts w:cs="Arial"/>
          <w:szCs w:val="22"/>
        </w:rPr>
        <w:t>).</w:t>
      </w:r>
    </w:p>
    <w:p w:rsidR="0087116A" w:rsidRPr="00647DFD" w:rsidRDefault="0087116A" w:rsidP="0087116A">
      <w:pPr>
        <w:numPr>
          <w:ilvl w:val="0"/>
          <w:numId w:val="29"/>
        </w:numPr>
        <w:jc w:val="both"/>
        <w:rPr>
          <w:rFonts w:cs="Arial"/>
          <w:szCs w:val="22"/>
        </w:rPr>
      </w:pPr>
      <w:r w:rsidRPr="00647DFD">
        <w:rPr>
          <w:rFonts w:cs="Arial"/>
          <w:szCs w:val="22"/>
        </w:rPr>
        <w:t xml:space="preserve">V rámci finanční podpory projektu z veřejného rozpočtu města Havlíčkův Brod nemohou být financovány tyto nepřijatelné výdaje: </w:t>
      </w:r>
    </w:p>
    <w:p w:rsidR="0087116A" w:rsidRPr="00647DFD" w:rsidRDefault="0087116A" w:rsidP="0087116A">
      <w:pPr>
        <w:numPr>
          <w:ilvl w:val="0"/>
          <w:numId w:val="31"/>
        </w:numPr>
        <w:jc w:val="both"/>
        <w:rPr>
          <w:rFonts w:cs="Arial"/>
          <w:szCs w:val="22"/>
        </w:rPr>
      </w:pPr>
      <w:r w:rsidRPr="00647DFD">
        <w:rPr>
          <w:rFonts w:cs="Arial"/>
          <w:szCs w:val="22"/>
        </w:rPr>
        <w:t>na reprezentaci (zejména pohoštění, občerstvení a dary), propagační předměty  a potraviny,</w:t>
      </w:r>
    </w:p>
    <w:p w:rsidR="0087116A" w:rsidRPr="00647DFD" w:rsidRDefault="0087116A" w:rsidP="0087116A">
      <w:pPr>
        <w:numPr>
          <w:ilvl w:val="0"/>
          <w:numId w:val="31"/>
        </w:numPr>
        <w:jc w:val="both"/>
        <w:rPr>
          <w:rFonts w:cs="Arial"/>
          <w:szCs w:val="22"/>
        </w:rPr>
      </w:pPr>
      <w:r w:rsidRPr="00647DFD">
        <w:rPr>
          <w:rFonts w:cs="Arial"/>
          <w:szCs w:val="22"/>
        </w:rPr>
        <w:t>daně (z příjmů, darovací, dědická, z převodu nemovitostí, silniční a ostatní daně), daň z přidané hodnoty (platí pouze pro plátce této daně),</w:t>
      </w:r>
    </w:p>
    <w:p w:rsidR="0087116A" w:rsidRPr="00647DFD" w:rsidRDefault="0087116A" w:rsidP="0087116A">
      <w:pPr>
        <w:numPr>
          <w:ilvl w:val="0"/>
          <w:numId w:val="31"/>
        </w:numPr>
        <w:jc w:val="both"/>
        <w:rPr>
          <w:rFonts w:cs="Arial"/>
          <w:szCs w:val="22"/>
        </w:rPr>
      </w:pPr>
      <w:r w:rsidRPr="00647DFD">
        <w:rPr>
          <w:rFonts w:cs="Arial"/>
          <w:szCs w:val="22"/>
        </w:rPr>
        <w:t>správní, soudní, místní, bankovní a poštovní poplatky,</w:t>
      </w:r>
    </w:p>
    <w:p w:rsidR="0087116A" w:rsidRPr="00647DFD" w:rsidRDefault="0087116A" w:rsidP="0087116A">
      <w:pPr>
        <w:numPr>
          <w:ilvl w:val="0"/>
          <w:numId w:val="31"/>
        </w:numPr>
        <w:jc w:val="both"/>
        <w:rPr>
          <w:rFonts w:cs="Arial"/>
          <w:szCs w:val="22"/>
        </w:rPr>
      </w:pPr>
      <w:r w:rsidRPr="00647DFD">
        <w:rPr>
          <w:rFonts w:cs="Arial"/>
          <w:szCs w:val="22"/>
        </w:rPr>
        <w:t>dary,</w:t>
      </w:r>
    </w:p>
    <w:p w:rsidR="0087116A" w:rsidRPr="00647DFD" w:rsidRDefault="0087116A" w:rsidP="0087116A">
      <w:pPr>
        <w:numPr>
          <w:ilvl w:val="0"/>
          <w:numId w:val="31"/>
        </w:numPr>
        <w:jc w:val="both"/>
        <w:rPr>
          <w:rFonts w:cs="Arial"/>
          <w:szCs w:val="22"/>
        </w:rPr>
      </w:pPr>
      <w:r w:rsidRPr="00647DFD">
        <w:rPr>
          <w:rFonts w:cs="Arial"/>
          <w:szCs w:val="22"/>
        </w:rPr>
        <w:t>pokuty a penále,</w:t>
      </w:r>
    </w:p>
    <w:p w:rsidR="0087116A" w:rsidRPr="00647DFD" w:rsidRDefault="0087116A" w:rsidP="0087116A">
      <w:pPr>
        <w:numPr>
          <w:ilvl w:val="0"/>
          <w:numId w:val="31"/>
        </w:numPr>
        <w:jc w:val="both"/>
        <w:rPr>
          <w:rFonts w:cs="Arial"/>
          <w:szCs w:val="22"/>
        </w:rPr>
      </w:pPr>
      <w:r w:rsidRPr="00647DFD">
        <w:rPr>
          <w:rFonts w:cs="Arial"/>
          <w:szCs w:val="22"/>
        </w:rPr>
        <w:t xml:space="preserve">odpis pohledávek, </w:t>
      </w:r>
    </w:p>
    <w:p w:rsidR="0087116A" w:rsidRPr="00647DFD" w:rsidRDefault="0087116A" w:rsidP="0087116A">
      <w:pPr>
        <w:numPr>
          <w:ilvl w:val="0"/>
          <w:numId w:val="31"/>
        </w:numPr>
        <w:jc w:val="both"/>
        <w:rPr>
          <w:rFonts w:cs="Arial"/>
          <w:szCs w:val="22"/>
        </w:rPr>
      </w:pPr>
      <w:r w:rsidRPr="00647DFD">
        <w:rPr>
          <w:rFonts w:cs="Arial"/>
          <w:szCs w:val="22"/>
        </w:rPr>
        <w:t xml:space="preserve">manka a škody, </w:t>
      </w:r>
    </w:p>
    <w:p w:rsidR="0087116A" w:rsidRPr="00647DFD" w:rsidRDefault="0087116A" w:rsidP="0087116A">
      <w:pPr>
        <w:numPr>
          <w:ilvl w:val="0"/>
          <w:numId w:val="31"/>
        </w:numPr>
        <w:jc w:val="both"/>
        <w:rPr>
          <w:rFonts w:cs="Arial"/>
          <w:szCs w:val="22"/>
          <w:lang w:val="pl-PL"/>
        </w:rPr>
      </w:pPr>
      <w:r w:rsidRPr="00647DFD">
        <w:rPr>
          <w:rFonts w:cs="Arial"/>
          <w:szCs w:val="22"/>
          <w:lang w:val="pl-PL"/>
        </w:rPr>
        <w:t>tvorba rezerv a opravných položek,</w:t>
      </w:r>
    </w:p>
    <w:p w:rsidR="0087116A" w:rsidRPr="00647DFD" w:rsidRDefault="0087116A" w:rsidP="0087116A">
      <w:pPr>
        <w:numPr>
          <w:ilvl w:val="0"/>
          <w:numId w:val="31"/>
        </w:numPr>
        <w:jc w:val="both"/>
        <w:rPr>
          <w:rFonts w:cs="Arial"/>
          <w:szCs w:val="22"/>
        </w:rPr>
      </w:pPr>
      <w:r w:rsidRPr="00647DFD">
        <w:rPr>
          <w:rFonts w:cs="Arial"/>
          <w:szCs w:val="22"/>
        </w:rPr>
        <w:t>kurzové ztráty,</w:t>
      </w:r>
    </w:p>
    <w:p w:rsidR="0087116A" w:rsidRPr="00647DFD" w:rsidRDefault="0087116A" w:rsidP="0087116A">
      <w:pPr>
        <w:numPr>
          <w:ilvl w:val="0"/>
          <w:numId w:val="31"/>
        </w:numPr>
        <w:jc w:val="both"/>
        <w:rPr>
          <w:rFonts w:cs="Arial"/>
          <w:szCs w:val="22"/>
          <w:lang w:val="pl-PL"/>
        </w:rPr>
      </w:pPr>
      <w:r w:rsidRPr="00647DFD">
        <w:rPr>
          <w:rFonts w:cs="Arial"/>
          <w:szCs w:val="22"/>
          <w:lang w:val="pl-PL"/>
        </w:rPr>
        <w:t>úroky z úvěrů a půjček,</w:t>
      </w:r>
    </w:p>
    <w:p w:rsidR="0087116A" w:rsidRPr="00647DFD" w:rsidRDefault="0087116A" w:rsidP="0087116A">
      <w:pPr>
        <w:numPr>
          <w:ilvl w:val="0"/>
          <w:numId w:val="31"/>
        </w:numPr>
        <w:jc w:val="both"/>
        <w:rPr>
          <w:rFonts w:cs="Arial"/>
          <w:szCs w:val="22"/>
        </w:rPr>
      </w:pPr>
      <w:r w:rsidRPr="00647DFD">
        <w:rPr>
          <w:rFonts w:cs="Arial"/>
          <w:szCs w:val="22"/>
        </w:rPr>
        <w:t>úroky z prodlení,</w:t>
      </w:r>
    </w:p>
    <w:p w:rsidR="0087116A" w:rsidRPr="00647DFD" w:rsidRDefault="0087116A" w:rsidP="0087116A">
      <w:pPr>
        <w:numPr>
          <w:ilvl w:val="0"/>
          <w:numId w:val="31"/>
        </w:numPr>
        <w:jc w:val="both"/>
        <w:rPr>
          <w:rFonts w:cs="Arial"/>
          <w:szCs w:val="22"/>
        </w:rPr>
      </w:pPr>
      <w:r w:rsidRPr="00647DFD">
        <w:rPr>
          <w:rFonts w:cs="Arial"/>
          <w:szCs w:val="22"/>
        </w:rPr>
        <w:t>veškeré osobní náklady (definované účtovou skupinou 52), kterými jsou zejména mzdové náklady (včetně dohod o provedení práce a dohod o pracovní činnosti), příjmy společníků a členů družstva ze závislé činnosti, odměny členům orgánů společnosti a družstva, zákonné sociální pojištění, ostatní sociální pojištění, sociální pojištění individuálního podnikatele, zákonné sociální náklady a ostatní sociální náklady.</w:t>
      </w:r>
    </w:p>
    <w:p w:rsidR="0087116A" w:rsidRPr="00647DFD" w:rsidRDefault="0087116A" w:rsidP="0087116A">
      <w:pPr>
        <w:numPr>
          <w:ilvl w:val="0"/>
          <w:numId w:val="29"/>
        </w:numPr>
        <w:jc w:val="both"/>
        <w:rPr>
          <w:rFonts w:cs="Arial"/>
          <w:szCs w:val="22"/>
        </w:rPr>
      </w:pPr>
      <w:r w:rsidRPr="00647DFD">
        <w:rPr>
          <w:rFonts w:cs="Arial"/>
          <w:szCs w:val="22"/>
        </w:rPr>
        <w:t xml:space="preserve">Vrátit poskytnuté peněžní prostředky, jestliže zanikne účel, pro který je podpora poskytována, a to do 15 dnů ode dne, kdy se příjemce o této skutečnosti dozví. </w:t>
      </w:r>
    </w:p>
    <w:p w:rsidR="0087116A" w:rsidRPr="00647DFD" w:rsidRDefault="0087116A" w:rsidP="0087116A">
      <w:pPr>
        <w:numPr>
          <w:ilvl w:val="0"/>
          <w:numId w:val="29"/>
        </w:numPr>
        <w:jc w:val="both"/>
        <w:rPr>
          <w:rFonts w:cs="Arial"/>
          <w:szCs w:val="22"/>
        </w:rPr>
      </w:pPr>
      <w:r w:rsidRPr="00647DFD">
        <w:rPr>
          <w:rFonts w:cs="Arial"/>
          <w:szCs w:val="22"/>
        </w:rPr>
        <w:t xml:space="preserve">Umožnit osobám pověřeným městem Havlíčkův Brod neomezeně nahlížet do účetní evidence a stavební dokumentace, provádět finanční kontrolu ve smyslu zákona č. 320/2001 Sb., o finanční kontrole ve veřejné správě a o změně některých zákonů (zákon o finanční kontrole), ve znění pozdějších předpisů, v průběhu realizace akce i po jejím dokončení, a to do doby, kdy bude zcela zřejmé, že příjemce splnil všechny své závazky a povinnosti dle této smlouvy. </w:t>
      </w:r>
    </w:p>
    <w:p w:rsidR="0087116A" w:rsidRPr="00647DFD" w:rsidRDefault="0087116A" w:rsidP="0087116A">
      <w:pPr>
        <w:numPr>
          <w:ilvl w:val="0"/>
          <w:numId w:val="29"/>
        </w:numPr>
        <w:jc w:val="both"/>
        <w:rPr>
          <w:rFonts w:cs="Arial"/>
          <w:szCs w:val="22"/>
        </w:rPr>
      </w:pPr>
      <w:r w:rsidRPr="00647DFD">
        <w:rPr>
          <w:rFonts w:cs="Arial"/>
          <w:szCs w:val="22"/>
        </w:rPr>
        <w:lastRenderedPageBreak/>
        <w:t xml:space="preserve">Bez zbytečného odkladu požádat město o změnu smlouvy či poskytnutí výjimky v případě takových změn skutečností či podmínek předpokládaných ve smlouvě, které by mu bez jeho zavinění znemožnily dodržet podmínky smlouvy. </w:t>
      </w:r>
    </w:p>
    <w:p w:rsidR="0087116A" w:rsidRPr="00647DFD" w:rsidRDefault="0087116A" w:rsidP="0087116A">
      <w:pPr>
        <w:numPr>
          <w:ilvl w:val="0"/>
          <w:numId w:val="29"/>
        </w:numPr>
        <w:jc w:val="both"/>
        <w:rPr>
          <w:rFonts w:cs="Arial"/>
          <w:szCs w:val="22"/>
        </w:rPr>
      </w:pPr>
      <w:r w:rsidRPr="00647DFD">
        <w:rPr>
          <w:rFonts w:cs="Arial"/>
          <w:szCs w:val="22"/>
        </w:rPr>
        <w:t>Informovat město o všech okolnostech, které mají nebo by mohly mít vliv na plnění povinností příjemce podle této smlouvy.</w:t>
      </w:r>
    </w:p>
    <w:p w:rsidR="0087116A" w:rsidRPr="00647DFD" w:rsidRDefault="0087116A" w:rsidP="0087116A">
      <w:pPr>
        <w:numPr>
          <w:ilvl w:val="0"/>
          <w:numId w:val="29"/>
        </w:numPr>
        <w:jc w:val="both"/>
        <w:rPr>
          <w:rFonts w:cs="Arial"/>
          <w:szCs w:val="22"/>
        </w:rPr>
      </w:pPr>
      <w:r w:rsidRPr="00647DFD">
        <w:rPr>
          <w:rFonts w:cs="Arial"/>
          <w:szCs w:val="22"/>
        </w:rPr>
        <w:t>Oznámit neprodleně poskytovateli veškeré změny všech identifikačních údajů uvedených v této smlouvě, změny struktury příjemce, přeměny nebo zrušení s likvidací, vč. změny termínu akce, a to nejpozději do 15 dnů ode dne, kdy tyto změny nastaly. Oznámení změn musí být provedeno písemnou formou (sdělení je možné zaslat i elektronicky).</w:t>
      </w:r>
    </w:p>
    <w:p w:rsidR="0087116A" w:rsidRDefault="0087116A" w:rsidP="0087116A">
      <w:pPr>
        <w:numPr>
          <w:ilvl w:val="0"/>
          <w:numId w:val="29"/>
        </w:numPr>
        <w:jc w:val="both"/>
        <w:rPr>
          <w:rFonts w:cs="Arial"/>
          <w:szCs w:val="22"/>
        </w:rPr>
      </w:pPr>
      <w:r w:rsidRPr="00647DFD">
        <w:rPr>
          <w:rFonts w:cs="Arial"/>
          <w:szCs w:val="22"/>
        </w:rPr>
        <w:t>Uvádět pouze pravdivé, nezkreslené a úplné informace týkající se skutečností, kterými se tato smlouva zabývá.</w:t>
      </w:r>
    </w:p>
    <w:p w:rsidR="004F74E0" w:rsidRDefault="004F74E0" w:rsidP="0087116A">
      <w:pPr>
        <w:numPr>
          <w:ilvl w:val="0"/>
          <w:numId w:val="29"/>
        </w:numPr>
        <w:jc w:val="both"/>
        <w:rPr>
          <w:rFonts w:cs="Arial"/>
          <w:szCs w:val="22"/>
        </w:rPr>
      </w:pPr>
      <w:r>
        <w:rPr>
          <w:rFonts w:cs="Arial"/>
          <w:bCs/>
          <w:szCs w:val="22"/>
        </w:rPr>
        <w:t>N</w:t>
      </w:r>
      <w:r w:rsidRPr="0066190B">
        <w:rPr>
          <w:rFonts w:cs="Arial"/>
          <w:bCs/>
          <w:szCs w:val="22"/>
        </w:rPr>
        <w:t>emá vůči městu Havlíčkův Brod a jím zřízeným organizacím a založeným</w:t>
      </w:r>
      <w:r w:rsidRPr="0066190B">
        <w:rPr>
          <w:rFonts w:cs="Arial"/>
          <w:szCs w:val="22"/>
        </w:rPr>
        <w:t xml:space="preserve"> společnostem finanční závazky po lhůtě s</w:t>
      </w:r>
      <w:r>
        <w:rPr>
          <w:rFonts w:cs="Arial"/>
          <w:szCs w:val="22"/>
        </w:rPr>
        <w:t>platnosti v době podání žádosti.</w:t>
      </w:r>
    </w:p>
    <w:p w:rsidR="004F74E0" w:rsidRPr="004F74E0" w:rsidRDefault="004F74E0" w:rsidP="0087116A">
      <w:pPr>
        <w:numPr>
          <w:ilvl w:val="0"/>
          <w:numId w:val="29"/>
        </w:numPr>
        <w:jc w:val="both"/>
        <w:rPr>
          <w:rFonts w:cs="Arial"/>
          <w:szCs w:val="22"/>
        </w:rPr>
      </w:pPr>
      <w:r>
        <w:rPr>
          <w:rFonts w:cs="Arial"/>
          <w:bCs/>
          <w:szCs w:val="22"/>
        </w:rPr>
        <w:t>M</w:t>
      </w:r>
      <w:r w:rsidRPr="0066190B">
        <w:rPr>
          <w:rFonts w:cs="Arial"/>
          <w:bCs/>
          <w:szCs w:val="22"/>
        </w:rPr>
        <w:t>á vypořádány závazky vůči státnímu rozpočtu a státním fondům</w:t>
      </w:r>
      <w:r>
        <w:rPr>
          <w:rFonts w:cs="Arial"/>
          <w:bCs/>
          <w:szCs w:val="22"/>
        </w:rPr>
        <w:t>.</w:t>
      </w:r>
    </w:p>
    <w:p w:rsidR="004F74E0" w:rsidRPr="00647DFD" w:rsidRDefault="004F74E0" w:rsidP="0087116A">
      <w:pPr>
        <w:numPr>
          <w:ilvl w:val="0"/>
          <w:numId w:val="29"/>
        </w:numPr>
        <w:jc w:val="both"/>
        <w:rPr>
          <w:rFonts w:cs="Arial"/>
          <w:szCs w:val="22"/>
        </w:rPr>
      </w:pPr>
      <w:r>
        <w:rPr>
          <w:rFonts w:cs="Arial"/>
          <w:bCs/>
          <w:szCs w:val="22"/>
        </w:rPr>
        <w:t>N</w:t>
      </w:r>
      <w:r w:rsidRPr="0066190B">
        <w:rPr>
          <w:rFonts w:cs="Arial"/>
          <w:bCs/>
          <w:szCs w:val="22"/>
        </w:rPr>
        <w:t>a jeho majetek není vyhlášen konkurz nebo podán návrh na kon</w:t>
      </w:r>
      <w:r>
        <w:rPr>
          <w:rFonts w:cs="Arial"/>
          <w:bCs/>
          <w:szCs w:val="22"/>
        </w:rPr>
        <w:t>kurz.</w:t>
      </w:r>
    </w:p>
    <w:p w:rsidR="0087116A" w:rsidRPr="00647DFD" w:rsidRDefault="0087116A" w:rsidP="00E050DA">
      <w:pPr>
        <w:numPr>
          <w:ilvl w:val="0"/>
          <w:numId w:val="29"/>
        </w:numPr>
        <w:jc w:val="both"/>
        <w:rPr>
          <w:rFonts w:cs="Arial"/>
          <w:szCs w:val="22"/>
        </w:rPr>
      </w:pPr>
      <w:r w:rsidRPr="00647DFD">
        <w:rPr>
          <w:rFonts w:cs="Arial"/>
          <w:szCs w:val="22"/>
        </w:rPr>
        <w:t>Uvádět v informačních a dalších materiálech k projektu financovaného z prostředků města na základě této smlouvy (včetně informačních tabulí instalovaných na místě realizovaného projektu nebo instalovaných na místě dokončeného projektu) údaj, že projekt je financován, případně spolufinancován z prostředků města Havlíčkův Brod. Současně s touto informací bude na materiálech uváděn</w:t>
      </w:r>
      <w:r w:rsidR="00E050DA">
        <w:rPr>
          <w:rFonts w:cs="Arial"/>
          <w:szCs w:val="22"/>
        </w:rPr>
        <w:t>o</w:t>
      </w:r>
      <w:r w:rsidRPr="00647DFD">
        <w:rPr>
          <w:rFonts w:cs="Arial"/>
          <w:szCs w:val="22"/>
        </w:rPr>
        <w:t xml:space="preserve"> i </w:t>
      </w:r>
      <w:r w:rsidR="00E050DA">
        <w:rPr>
          <w:rFonts w:cs="Arial"/>
          <w:szCs w:val="22"/>
        </w:rPr>
        <w:t>logo</w:t>
      </w:r>
      <w:r w:rsidRPr="00647DFD">
        <w:rPr>
          <w:rFonts w:cs="Arial"/>
          <w:szCs w:val="22"/>
        </w:rPr>
        <w:t xml:space="preserve"> města, k jehož užití k uvedenému účelu dává město tímto souhlas. </w:t>
      </w:r>
      <w:r w:rsidR="00E050DA">
        <w:rPr>
          <w:rFonts w:cs="Arial"/>
          <w:szCs w:val="22"/>
        </w:rPr>
        <w:t>Logo</w:t>
      </w:r>
      <w:r w:rsidRPr="00647DFD">
        <w:rPr>
          <w:rFonts w:cs="Arial"/>
          <w:szCs w:val="22"/>
        </w:rPr>
        <w:t xml:space="preserve"> města Havlíčkův Brod je k dispozici na webových stránkách města </w:t>
      </w:r>
      <w:r w:rsidR="00E050DA" w:rsidRPr="00E050DA">
        <w:rPr>
          <w:rFonts w:cs="Arial"/>
          <w:szCs w:val="22"/>
        </w:rPr>
        <w:t xml:space="preserve">v sekci Vedení města </w:t>
      </w:r>
      <w:r w:rsidR="00E050DA">
        <w:rPr>
          <w:rFonts w:cs="Arial"/>
          <w:szCs w:val="22"/>
        </w:rPr>
        <w:t>-</w:t>
      </w:r>
      <w:r w:rsidR="00E050DA" w:rsidRPr="00E050DA">
        <w:rPr>
          <w:rFonts w:cs="Arial"/>
          <w:szCs w:val="22"/>
        </w:rPr>
        <w:t xml:space="preserve"> Vizuální identita města</w:t>
      </w:r>
      <w:r w:rsidRPr="00647DFD">
        <w:rPr>
          <w:rFonts w:cs="Arial"/>
          <w:szCs w:val="22"/>
        </w:rPr>
        <w:t>. Náklady s tímto související hradí příjemce ze svých zdrojů. Toto prokázat vhodným způsobem (např. fotodokumentací) při závěrečném vyúčtování projektu.</w:t>
      </w:r>
    </w:p>
    <w:p w:rsidR="0087116A" w:rsidRPr="00647DFD" w:rsidRDefault="0087116A" w:rsidP="0087116A">
      <w:pPr>
        <w:jc w:val="both"/>
        <w:rPr>
          <w:rFonts w:cs="Arial"/>
          <w:szCs w:val="22"/>
        </w:rPr>
      </w:pPr>
    </w:p>
    <w:p w:rsidR="0087116A" w:rsidRPr="00647DFD" w:rsidRDefault="0087116A" w:rsidP="0087116A">
      <w:pPr>
        <w:jc w:val="both"/>
        <w:rPr>
          <w:rFonts w:cs="Arial"/>
          <w:szCs w:val="22"/>
        </w:rPr>
      </w:pPr>
    </w:p>
    <w:p w:rsidR="0087116A" w:rsidRPr="00647DFD" w:rsidRDefault="0087116A" w:rsidP="0087116A">
      <w:pPr>
        <w:pStyle w:val="Zkladntext"/>
        <w:jc w:val="center"/>
        <w:outlineLvl w:val="0"/>
        <w:rPr>
          <w:rFonts w:cs="Arial"/>
          <w:b/>
          <w:szCs w:val="22"/>
        </w:rPr>
      </w:pPr>
      <w:r w:rsidRPr="00647DFD">
        <w:rPr>
          <w:rFonts w:cs="Arial"/>
          <w:b/>
          <w:szCs w:val="22"/>
        </w:rPr>
        <w:t>Článek V.</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Kontrola, smluvní porušení, sankce</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 xml:space="preserve">Důsledky porušení závazků příjemce </w:t>
      </w:r>
    </w:p>
    <w:p w:rsidR="0087116A" w:rsidRPr="00647DFD" w:rsidRDefault="0087116A" w:rsidP="0087116A"/>
    <w:p w:rsidR="0087116A" w:rsidRPr="00647DFD" w:rsidRDefault="0087116A" w:rsidP="0087116A">
      <w:pPr>
        <w:pStyle w:val="Zkladntext"/>
        <w:numPr>
          <w:ilvl w:val="0"/>
          <w:numId w:val="37"/>
        </w:numPr>
        <w:ind w:left="284" w:hanging="284"/>
        <w:rPr>
          <w:rFonts w:cs="Arial"/>
          <w:szCs w:val="22"/>
        </w:rPr>
      </w:pPr>
      <w:r w:rsidRPr="00647DFD">
        <w:rPr>
          <w:szCs w:val="22"/>
        </w:rPr>
        <w:lastRenderedPageBreak/>
        <w:t>Poskytovatel podpory je oprávněn nahlížet neomezeně do účetnictví příjemce za účelem ověření skutečností.</w:t>
      </w:r>
    </w:p>
    <w:p w:rsidR="0087116A" w:rsidRPr="00647DFD" w:rsidRDefault="0087116A" w:rsidP="0087116A">
      <w:pPr>
        <w:pStyle w:val="Zkladntext"/>
        <w:numPr>
          <w:ilvl w:val="0"/>
          <w:numId w:val="37"/>
        </w:numPr>
        <w:ind w:left="284" w:hanging="284"/>
        <w:rPr>
          <w:szCs w:val="22"/>
        </w:rPr>
      </w:pPr>
      <w:r w:rsidRPr="00647DFD">
        <w:rPr>
          <w:rFonts w:cs="Arial"/>
          <w:szCs w:val="22"/>
        </w:rPr>
        <w:t xml:space="preserve">Poskytovatel je oprávněn ve smyslu zákona č. 320/2001 Sb. kontrolou ověřovat efektivnost, hospodárnost a účelnost čerpání dotace vč. plnění podmínek této smlouvy. Ke kontrole je příjemce povinen předložit kontrolnímu orgánu města veškeré účetní doklady související s čerpáním dotace. </w:t>
      </w:r>
    </w:p>
    <w:p w:rsidR="0087116A" w:rsidRPr="00647DFD" w:rsidRDefault="0087116A" w:rsidP="0087116A">
      <w:pPr>
        <w:pStyle w:val="Zhlav"/>
        <w:tabs>
          <w:tab w:val="clear" w:pos="4536"/>
          <w:tab w:val="clear" w:pos="9072"/>
          <w:tab w:val="right" w:pos="8306"/>
        </w:tabs>
        <w:ind w:left="284"/>
        <w:jc w:val="both"/>
        <w:rPr>
          <w:szCs w:val="22"/>
        </w:rPr>
      </w:pPr>
      <w:r w:rsidRPr="00647DFD">
        <w:rPr>
          <w:rFonts w:cs="Arial"/>
          <w:szCs w:val="22"/>
        </w:rPr>
        <w:tab/>
        <w:t>Kontrolovaná</w:t>
      </w:r>
      <w:r w:rsidRPr="00647DFD">
        <w:rPr>
          <w:szCs w:val="22"/>
        </w:rPr>
        <w:t xml:space="preserve"> osoba je povinna vytvořit základní podmínky k provedení této kontroly a poskytnout odpovídající součinnost dle zákona č. 255/2012 Sb. o kontrole.</w:t>
      </w:r>
    </w:p>
    <w:p w:rsidR="0087116A" w:rsidRPr="00647DFD" w:rsidRDefault="0087116A" w:rsidP="0087116A">
      <w:pPr>
        <w:pStyle w:val="Zkladntext"/>
        <w:numPr>
          <w:ilvl w:val="0"/>
          <w:numId w:val="37"/>
        </w:numPr>
        <w:ind w:left="284" w:hanging="284"/>
        <w:rPr>
          <w:rFonts w:cs="Arial"/>
          <w:szCs w:val="22"/>
        </w:rPr>
      </w:pPr>
      <w:r w:rsidRPr="00647DFD">
        <w:rPr>
          <w:szCs w:val="22"/>
        </w:rPr>
        <w:t xml:space="preserve">Veřejnosprávní kontrolu u příjemce mohou provést pověření pracovníci městského úřadu – zvláště útvaru vnitřního auditu a </w:t>
      </w:r>
      <w:r w:rsidR="004F74E0">
        <w:rPr>
          <w:szCs w:val="22"/>
        </w:rPr>
        <w:t>oddělení sekretariátu a komunikace</w:t>
      </w:r>
      <w:r w:rsidRPr="00647DFD">
        <w:rPr>
          <w:szCs w:val="22"/>
        </w:rPr>
        <w:t xml:space="preserve">. Další kontrolou </w:t>
      </w:r>
      <w:r w:rsidRPr="00647DFD">
        <w:t>může být adhoc usnesením zastupitelstva města pověřen kontrolní výbor zastupitelstva města</w:t>
      </w:r>
      <w:r w:rsidRPr="00647DFD">
        <w:rPr>
          <w:szCs w:val="22"/>
        </w:rPr>
        <w:t>.</w:t>
      </w:r>
    </w:p>
    <w:p w:rsidR="0087116A" w:rsidRPr="00647DFD" w:rsidRDefault="0087116A" w:rsidP="0087116A">
      <w:pPr>
        <w:pStyle w:val="Zkladntext"/>
        <w:numPr>
          <w:ilvl w:val="0"/>
          <w:numId w:val="37"/>
        </w:numPr>
        <w:ind w:left="284" w:hanging="284"/>
        <w:rPr>
          <w:rFonts w:cs="Arial"/>
          <w:szCs w:val="22"/>
        </w:rPr>
      </w:pPr>
      <w:r w:rsidRPr="00647DFD">
        <w:rPr>
          <w:rFonts w:cs="Arial"/>
          <w:szCs w:val="22"/>
        </w:rPr>
        <w:t xml:space="preserve">Jestliže příjemce nesplní některý ze svých závazků či povinností stanovených touto smlouvou, má město právo od příjemce požadovat, aby ve lhůtě, kterou město stanoví, poskytnuté peněžní prostředky (nebo jejich část) vrátil. Pokud příjemce ve stanovené lhůtě požadované prostředky města nevrátí, považují se za prostředky zadržené ve smyslu zákona č. 250/2000 Sb., o rozpočtových pravidlech územních rozpočtů, ve znění pozdějších předpisů (dále jen „zákon o rozpočtových pravidlech“). Příjemce je v takovém případě povinen zaplatit městu penále ve výši odpovídající 1 ‰ (jednomu promile) zadržovaných prostředků za každý den prodlení. </w:t>
      </w:r>
    </w:p>
    <w:p w:rsidR="0087116A" w:rsidRPr="00647DFD" w:rsidRDefault="0087116A" w:rsidP="0087116A">
      <w:pPr>
        <w:pStyle w:val="Zkladntext"/>
        <w:numPr>
          <w:ilvl w:val="0"/>
          <w:numId w:val="37"/>
        </w:numPr>
        <w:ind w:left="284" w:hanging="284"/>
        <w:rPr>
          <w:rFonts w:cs="Arial"/>
          <w:szCs w:val="22"/>
        </w:rPr>
      </w:pPr>
      <w:r w:rsidRPr="00647DFD">
        <w:rPr>
          <w:rFonts w:cs="Arial"/>
          <w:szCs w:val="22"/>
        </w:rPr>
        <w:t>Pokud z důvodu podstatného porušení této smlouvy ze strany příjemce město od smlouvy odstoupí, považují se veškeré finanční prostředky do té doby poskytnuté za prostředky neoprávněně použité ve smyslu zákona o rozpočtových pravidlech. Příjemce je v takovém případě povinen veškeré poskytnuté prostředky městu vrátit a zaplatit městu penále ve výši odpovídající 1 ‰ (jednomu promile) neoprávněně použitých prostředků za každý den, uplynulý ode dne kdy byly připsány na účet příjemce do dne jejich opětovného připsání na účet města Havlíčkův Brod.</w:t>
      </w:r>
    </w:p>
    <w:p w:rsidR="0087116A" w:rsidRPr="00647DFD" w:rsidRDefault="0087116A" w:rsidP="0087116A">
      <w:pPr>
        <w:pStyle w:val="Zkladntext"/>
        <w:numPr>
          <w:ilvl w:val="0"/>
          <w:numId w:val="37"/>
        </w:numPr>
        <w:ind w:left="284" w:hanging="284"/>
        <w:rPr>
          <w:rFonts w:cs="Arial"/>
          <w:szCs w:val="22"/>
        </w:rPr>
      </w:pPr>
      <w:r w:rsidRPr="00647DFD">
        <w:rPr>
          <w:rFonts w:cs="Arial"/>
          <w:szCs w:val="22"/>
        </w:rPr>
        <w:t xml:space="preserve">Pokud příjemce použije poskytnuté peněžní prostředky (případně jejich část) k jinému účelu než je uveden v čl. I odst. 2 této smlouvy, považují se tyto prostředky (případně jejich část) za prostředky neoprávněně použité ve smyslu zákona o rozpočtových pravidlech a příjemce je povinen je vrátit a zaplatit </w:t>
      </w:r>
      <w:r w:rsidRPr="00647DFD">
        <w:rPr>
          <w:rFonts w:cs="Arial"/>
          <w:szCs w:val="22"/>
        </w:rPr>
        <w:lastRenderedPageBreak/>
        <w:t xml:space="preserve">městu penále ve výši odpovídající 1 ‰ (jednomu promile) neoprávněně použitých prostředků za každý den uplynulý ode dne, kdy byly připsány na účet příjemce, do dne jejich opětovného připsání na účet města Havlíčkův Brod. To nevylučuje právo města odstoupit od smlouvy podle čl. VI odst. 2 této smlouvy. </w:t>
      </w:r>
    </w:p>
    <w:p w:rsidR="0087116A" w:rsidRPr="00647DFD" w:rsidRDefault="0087116A" w:rsidP="0087116A">
      <w:pPr>
        <w:pStyle w:val="Zkladntext"/>
        <w:numPr>
          <w:ilvl w:val="0"/>
          <w:numId w:val="37"/>
        </w:numPr>
        <w:ind w:left="284" w:hanging="426"/>
        <w:rPr>
          <w:szCs w:val="22"/>
        </w:rPr>
      </w:pPr>
      <w:r w:rsidRPr="00647DFD">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87116A" w:rsidRPr="00647DFD" w:rsidRDefault="0087116A" w:rsidP="0087116A">
      <w:pPr>
        <w:pStyle w:val="Zkladntext"/>
        <w:jc w:val="center"/>
        <w:outlineLvl w:val="0"/>
        <w:rPr>
          <w:rFonts w:cs="Arial"/>
          <w:b/>
          <w:bCs/>
          <w:szCs w:val="22"/>
        </w:rPr>
      </w:pPr>
      <w:r w:rsidRPr="00647DFD">
        <w:rPr>
          <w:rFonts w:cs="Arial"/>
          <w:b/>
          <w:bCs/>
          <w:szCs w:val="22"/>
        </w:rPr>
        <w:t xml:space="preserve">Článek VI. </w:t>
      </w:r>
    </w:p>
    <w:p w:rsidR="0087116A" w:rsidRPr="00647DFD" w:rsidRDefault="0087116A" w:rsidP="0087116A">
      <w:pPr>
        <w:pStyle w:val="Zkladntext"/>
        <w:jc w:val="center"/>
        <w:outlineLvl w:val="0"/>
        <w:rPr>
          <w:rFonts w:cs="Arial"/>
          <w:b/>
          <w:bCs/>
          <w:szCs w:val="22"/>
        </w:rPr>
      </w:pPr>
      <w:r w:rsidRPr="00647DFD">
        <w:rPr>
          <w:rFonts w:cs="Arial"/>
          <w:b/>
          <w:bCs/>
          <w:szCs w:val="22"/>
        </w:rPr>
        <w:t>Ukončení smlouvy</w:t>
      </w:r>
    </w:p>
    <w:p w:rsidR="0087116A" w:rsidRPr="00647DFD" w:rsidRDefault="0087116A" w:rsidP="0087116A">
      <w:pPr>
        <w:pStyle w:val="Zkladntext"/>
        <w:jc w:val="center"/>
        <w:outlineLvl w:val="0"/>
        <w:rPr>
          <w:rFonts w:cs="Arial"/>
          <w:b/>
          <w:bCs/>
          <w:szCs w:val="22"/>
        </w:rPr>
      </w:pP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Tuto smlouvu lze ukončit na základě písemné dohody smluvních stran, výpovědí nebo odstoupením ze strany města podle čl. VI odst. 2 této smlouvy.</w:t>
      </w: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Výpovědní lhůta činí 2 měsíce a začíná běžet prvním dnem kalendářního měsíce následujícího po měsíci, ve kterém bylo písemné vyhotovení výpovědi prokazatelně doručeno druhé smluvní straně.</w:t>
      </w: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Poskytovatel je oprávněn od této smlouvy odstoupit v případě, že příjemce vstoupí do likvidace nebo s ním bude zahájeno insolvenční řízení.</w:t>
      </w: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V případě, kdy příjemce tuto smlouvu vypoví před vyplacením podpory městem, nemá nárok na vyplacení podpory podle této smlouvy. Pokud příjemce tuto smlouvu vypoví po vyplacení podpory nebo její části městem, je v takovém případě povinen veškeré poskytnuté prostředky městu vrátit, a to před uplynutím výpovědní lhůty podle čl. VI odst. 2 této smlouvy. Pokud příjemce tuto povinnost nesplní, považují se prostředky (případně jejich část) poskytnuté příjemci městem za prostředky neoprávněně použité ve smyslu zákona o rozpočtových pravidlech a příjemce je povinen je vrátit a zaplatit městu penále ve výši odpovídající 1 ‰ (jednomu promile) neoprávněně použitých prostředků za každý den uplynulý ode dne, kdy byly připsány na účet příjemce do dne jejich opětovného připsání na účet města Havlíčkův Brod.</w:t>
      </w:r>
    </w:p>
    <w:p w:rsidR="0087116A" w:rsidRPr="00647DFD" w:rsidRDefault="0087116A" w:rsidP="0087116A">
      <w:pPr>
        <w:pStyle w:val="Zkladntext"/>
        <w:outlineLvl w:val="0"/>
        <w:rPr>
          <w:rFonts w:cs="Arial"/>
          <w:b/>
          <w:bCs/>
          <w:szCs w:val="22"/>
        </w:rPr>
      </w:pPr>
    </w:p>
    <w:p w:rsidR="0087116A" w:rsidRPr="00647DFD" w:rsidRDefault="0087116A" w:rsidP="0087116A">
      <w:pPr>
        <w:pStyle w:val="Zkladntext"/>
        <w:outlineLvl w:val="0"/>
        <w:rPr>
          <w:rFonts w:cs="Arial"/>
          <w:b/>
          <w:bCs/>
          <w:szCs w:val="22"/>
        </w:rPr>
      </w:pPr>
    </w:p>
    <w:p w:rsidR="0087116A" w:rsidRPr="00647DFD" w:rsidRDefault="0087116A" w:rsidP="0087116A">
      <w:pPr>
        <w:pStyle w:val="Zkladntext"/>
        <w:jc w:val="center"/>
        <w:outlineLvl w:val="0"/>
        <w:rPr>
          <w:rFonts w:cs="Arial"/>
          <w:szCs w:val="22"/>
        </w:rPr>
      </w:pPr>
      <w:r w:rsidRPr="00647DFD">
        <w:rPr>
          <w:rFonts w:cs="Arial"/>
          <w:b/>
          <w:bCs/>
          <w:szCs w:val="22"/>
        </w:rPr>
        <w:t>Článek VII.</w:t>
      </w:r>
    </w:p>
    <w:p w:rsidR="0087116A" w:rsidRPr="00647DFD" w:rsidRDefault="0087116A" w:rsidP="0087116A">
      <w:pPr>
        <w:pStyle w:val="Zkladntext"/>
        <w:jc w:val="center"/>
        <w:rPr>
          <w:rFonts w:cs="Arial"/>
          <w:b/>
          <w:bCs/>
          <w:szCs w:val="22"/>
        </w:rPr>
      </w:pPr>
      <w:r w:rsidRPr="00647DFD">
        <w:rPr>
          <w:rFonts w:cs="Arial"/>
          <w:b/>
          <w:bCs/>
          <w:szCs w:val="22"/>
        </w:rPr>
        <w:lastRenderedPageBreak/>
        <w:t>Závěrečná ustanovení</w:t>
      </w:r>
    </w:p>
    <w:p w:rsidR="0087116A" w:rsidRPr="00647DFD" w:rsidRDefault="0087116A" w:rsidP="0087116A">
      <w:pPr>
        <w:pStyle w:val="Zkladntext"/>
        <w:jc w:val="center"/>
        <w:rPr>
          <w:rFonts w:cs="Arial"/>
          <w:b/>
          <w:bCs/>
          <w:szCs w:val="22"/>
        </w:rPr>
      </w:pP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Příjemce prohlašuje a podpisem smlouvy stvrzuje, že se před podpisem této smlouvy řádně a podrobně seznámil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 xml:space="preserve">Příjemce prohlašuje, že veškeré údaje, které uvedl v Žádosti o poskytnutí podpory evidovanou pod JID: </w:t>
      </w:r>
      <w:r w:rsidR="00E13BE9">
        <w:rPr>
          <w:rFonts w:cs="Arial"/>
          <w:szCs w:val="22"/>
        </w:rPr>
        <w:t>118484</w:t>
      </w:r>
      <w:r w:rsidR="004F74E0">
        <w:rPr>
          <w:rFonts w:cs="Arial"/>
          <w:szCs w:val="22"/>
        </w:rPr>
        <w:t>/2025</w:t>
      </w:r>
      <w:r w:rsidRPr="00647DFD">
        <w:rPr>
          <w:rFonts w:cs="Arial"/>
          <w:szCs w:val="22"/>
        </w:rPr>
        <w:t>/muhb jsou pravdivé.</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Pokud tato smlouva či zvláštní obecně závazný právní předpis nestanoví jinak, řídí se vztahy dle této smlouvy příslušnými ustanoveními zákona č. 89/2012 Sb., občanský zákoník, ve znění platných předpisů.</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rPr>
        <w:t>Smluvní strany se dohodly, že zákonnou povinnost dle § 5 odst. 2 zákona č. 340/2015 Sb., o zvláštních podmínkách účinnosti některých smluv, uveřejňování těchto smluv a o registru smluv (zákon o registru smluv) splní město.</w:t>
      </w:r>
    </w:p>
    <w:p w:rsidR="0087116A" w:rsidRPr="00647DFD" w:rsidRDefault="0087116A" w:rsidP="0087116A">
      <w:pPr>
        <w:pStyle w:val="Zkladntext"/>
        <w:numPr>
          <w:ilvl w:val="0"/>
          <w:numId w:val="34"/>
        </w:numPr>
        <w:tabs>
          <w:tab w:val="clear" w:pos="720"/>
          <w:tab w:val="num" w:pos="426"/>
        </w:tabs>
        <w:ind w:left="425" w:hanging="425"/>
        <w:rPr>
          <w:rFonts w:cs="Arial"/>
        </w:rPr>
      </w:pPr>
      <w:r w:rsidRPr="00647DFD">
        <w:rPr>
          <w:rFonts w:cs="Arial"/>
        </w:rPr>
        <w:t>Příjemce bere na vědomí, že město Havlíčkův Brod jako poskytovatel finanční podpory je oprávněn zpracovávat poskytnuté osobní údaje za účelem</w:t>
      </w:r>
    </w:p>
    <w:p w:rsidR="0087116A" w:rsidRPr="00647DFD" w:rsidRDefault="0087116A" w:rsidP="0087116A">
      <w:pPr>
        <w:pStyle w:val="Odstavecseseznamem"/>
        <w:numPr>
          <w:ilvl w:val="0"/>
          <w:numId w:val="35"/>
        </w:numPr>
        <w:jc w:val="both"/>
        <w:rPr>
          <w:rFonts w:cs="Arial"/>
        </w:rPr>
      </w:pPr>
      <w:r w:rsidRPr="00647DFD">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87116A" w:rsidRPr="00647DFD" w:rsidRDefault="0087116A" w:rsidP="0087116A">
      <w:pPr>
        <w:pStyle w:val="Odstavecseseznamem"/>
        <w:numPr>
          <w:ilvl w:val="0"/>
          <w:numId w:val="35"/>
        </w:numPr>
        <w:ind w:left="714" w:hanging="357"/>
        <w:jc w:val="both"/>
        <w:rPr>
          <w:rFonts w:cs="Arial"/>
        </w:rPr>
      </w:pPr>
      <w:r w:rsidRPr="00647DFD">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w:t>
      </w:r>
    </w:p>
    <w:p w:rsidR="0087116A" w:rsidRPr="00647DFD" w:rsidRDefault="0087116A" w:rsidP="0087116A">
      <w:pPr>
        <w:pStyle w:val="Zkladntext"/>
        <w:ind w:left="425"/>
        <w:rPr>
          <w:rFonts w:cs="Arial"/>
        </w:rPr>
      </w:pPr>
      <w:r w:rsidRPr="00647DFD">
        <w:rPr>
          <w:rFonts w:cs="Arial"/>
        </w:rPr>
        <w:t>Osobní údaje budou zpracovávány po dobu, kterou stanoví výše uvedené obecně závazné právní předpisy a Spisový a skartační řád MěÚ Havlíčkův Brod.</w:t>
      </w:r>
    </w:p>
    <w:p w:rsidR="0087116A" w:rsidRPr="00647DFD" w:rsidRDefault="0087116A" w:rsidP="0087116A">
      <w:pPr>
        <w:pStyle w:val="Zkladntext"/>
        <w:numPr>
          <w:ilvl w:val="0"/>
          <w:numId w:val="34"/>
        </w:numPr>
        <w:tabs>
          <w:tab w:val="clear" w:pos="720"/>
          <w:tab w:val="num" w:pos="426"/>
        </w:tabs>
        <w:ind w:left="425" w:hanging="425"/>
        <w:rPr>
          <w:rFonts w:cs="Arial"/>
        </w:rPr>
      </w:pPr>
      <w:r w:rsidRPr="00647DFD">
        <w:rPr>
          <w:rFonts w:cs="Arial"/>
          <w:szCs w:val="22"/>
        </w:rPr>
        <w:t>Případná změna právní formy osoby příjemce (legislativně vyvolaná) nemá vliv na práva a povinnosti vyplývající z této smlouvy.</w:t>
      </w:r>
    </w:p>
    <w:p w:rsidR="0087116A" w:rsidRPr="00647DFD" w:rsidRDefault="0087116A" w:rsidP="0087116A">
      <w:pPr>
        <w:pStyle w:val="Zkladntext"/>
        <w:numPr>
          <w:ilvl w:val="0"/>
          <w:numId w:val="34"/>
        </w:numPr>
        <w:tabs>
          <w:tab w:val="clear" w:pos="720"/>
          <w:tab w:val="num" w:pos="426"/>
        </w:tabs>
        <w:ind w:left="425" w:hanging="425"/>
      </w:pPr>
      <w:r w:rsidRPr="00647DFD">
        <w:t>V případě zrušení příjemce s likvidací je příjemce povinen poskytovateli oznámit vstup do likvidace a vyúčtování dotace poskytovateli doručit nejpozději 1 měsíc před skončením likvidace. Do stejné lhůty je příjemce povinen vrátit nevyčerpané finanční prostředky.</w:t>
      </w:r>
    </w:p>
    <w:p w:rsidR="0087116A" w:rsidRPr="00647DFD" w:rsidRDefault="0087116A" w:rsidP="0087116A">
      <w:pPr>
        <w:widowControl w:val="0"/>
        <w:ind w:left="425" w:right="72"/>
        <w:jc w:val="both"/>
        <w:rPr>
          <w:rFonts w:cs="Arial"/>
          <w:szCs w:val="22"/>
        </w:rPr>
      </w:pPr>
      <w:r w:rsidRPr="00647DFD">
        <w:lastRenderedPageBreak/>
        <w:t xml:space="preserve">Vyúčtování poskytnuté dotace bude předloženo na předepsaném formuláři </w:t>
      </w:r>
      <w:hyperlink r:id="rId8" w:history="1">
        <w:r w:rsidRPr="00647DFD">
          <w:t>Závěrečné vyúčtování celkových nákladů projektu</w:t>
        </w:r>
      </w:hyperlink>
      <w:r w:rsidRPr="00647DFD">
        <w:rPr>
          <w:b/>
          <w:bCs/>
        </w:rPr>
        <w:t>.</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Tato smlouva byla vyhotovena a podepsána ve dvou exemplářích, z nichž každý má platnost originálu. Každá smluvní strana obdrží po jednom exempláři.</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Tato smlouva nabývá platnosti a účinnosti dnem podpisu oběma smluvními stranami.</w:t>
      </w:r>
    </w:p>
    <w:p w:rsidR="0087116A" w:rsidRPr="00647DFD" w:rsidRDefault="0087116A" w:rsidP="0087116A">
      <w:pPr>
        <w:pStyle w:val="Zkladntext"/>
        <w:ind w:left="425"/>
        <w:rPr>
          <w:rFonts w:cs="Arial"/>
          <w:szCs w:val="22"/>
        </w:rPr>
      </w:pPr>
    </w:p>
    <w:p w:rsidR="0087116A" w:rsidRPr="00647DFD" w:rsidRDefault="0087116A" w:rsidP="0087116A">
      <w:pPr>
        <w:pStyle w:val="Zkladntext"/>
        <w:spacing w:before="60"/>
        <w:rPr>
          <w:rFonts w:cs="Arial"/>
          <w:szCs w:val="22"/>
        </w:rPr>
      </w:pPr>
    </w:p>
    <w:p w:rsidR="0087116A" w:rsidRPr="00647DFD" w:rsidRDefault="0087116A" w:rsidP="0087116A">
      <w:pPr>
        <w:pStyle w:val="Zkladntext"/>
        <w:rPr>
          <w:rFonts w:cs="Arial"/>
          <w:szCs w:val="22"/>
        </w:rPr>
      </w:pPr>
    </w:p>
    <w:p w:rsidR="0087116A" w:rsidRPr="00647DFD" w:rsidRDefault="0087116A" w:rsidP="0087116A">
      <w:pPr>
        <w:pStyle w:val="Zkladntext"/>
        <w:rPr>
          <w:rFonts w:cs="Arial"/>
          <w:szCs w:val="22"/>
        </w:rPr>
      </w:pPr>
      <w:r w:rsidRPr="00647DFD">
        <w:rPr>
          <w:rFonts w:cs="Arial"/>
          <w:szCs w:val="22"/>
        </w:rPr>
        <w:t>V Havlíčkově Brodě dne</w:t>
      </w:r>
      <w:r w:rsidR="00ED2FFE">
        <w:rPr>
          <w:rFonts w:cs="Arial"/>
          <w:szCs w:val="22"/>
        </w:rPr>
        <w:t xml:space="preserve"> 23. 1. 2026</w:t>
      </w:r>
      <w:r w:rsidRPr="00647DFD">
        <w:rPr>
          <w:rFonts w:cs="Arial"/>
          <w:szCs w:val="22"/>
        </w:rPr>
        <w:tab/>
      </w:r>
      <w:r w:rsidRPr="00647DFD">
        <w:rPr>
          <w:rFonts w:cs="Arial"/>
          <w:szCs w:val="22"/>
        </w:rPr>
        <w:tab/>
      </w:r>
      <w:r w:rsidRPr="00647DFD">
        <w:rPr>
          <w:rFonts w:cs="Arial"/>
          <w:szCs w:val="22"/>
        </w:rPr>
        <w:tab/>
        <w:t>V Havlíčkově Brodě dne</w:t>
      </w:r>
      <w:r w:rsidR="00ED2FFE">
        <w:rPr>
          <w:rFonts w:cs="Arial"/>
          <w:szCs w:val="22"/>
        </w:rPr>
        <w:t xml:space="preserve"> 4. 2. 2026</w:t>
      </w: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pStyle w:val="Nadpis2"/>
        <w:spacing w:before="0" w:after="0"/>
        <w:rPr>
          <w:b w:val="0"/>
          <w:bCs w:val="0"/>
          <w:i w:val="0"/>
          <w:sz w:val="22"/>
          <w:szCs w:val="22"/>
        </w:rPr>
      </w:pPr>
      <w:r w:rsidRPr="00647DFD">
        <w:rPr>
          <w:b w:val="0"/>
          <w:bCs w:val="0"/>
          <w:i w:val="0"/>
          <w:sz w:val="22"/>
          <w:szCs w:val="22"/>
        </w:rPr>
        <w:t>………………………………</w:t>
      </w:r>
      <w:r w:rsidRPr="00647DFD">
        <w:rPr>
          <w:b w:val="0"/>
          <w:bCs w:val="0"/>
          <w:i w:val="0"/>
          <w:sz w:val="22"/>
          <w:szCs w:val="22"/>
        </w:rPr>
        <w:tab/>
      </w:r>
      <w:r w:rsidRPr="00647DFD">
        <w:rPr>
          <w:b w:val="0"/>
          <w:bCs w:val="0"/>
          <w:i w:val="0"/>
          <w:sz w:val="22"/>
          <w:szCs w:val="22"/>
        </w:rPr>
        <w:tab/>
      </w:r>
      <w:r w:rsidRPr="00647DFD">
        <w:rPr>
          <w:b w:val="0"/>
          <w:bCs w:val="0"/>
          <w:i w:val="0"/>
          <w:sz w:val="22"/>
          <w:szCs w:val="22"/>
        </w:rPr>
        <w:tab/>
      </w:r>
      <w:r w:rsidRPr="00647DFD">
        <w:rPr>
          <w:b w:val="0"/>
          <w:bCs w:val="0"/>
          <w:i w:val="0"/>
          <w:sz w:val="22"/>
          <w:szCs w:val="22"/>
        </w:rPr>
        <w:tab/>
        <w:t>………………………………….</w:t>
      </w:r>
    </w:p>
    <w:p w:rsidR="0087116A" w:rsidRPr="00647DFD" w:rsidRDefault="0087116A" w:rsidP="0087116A">
      <w:pPr>
        <w:pStyle w:val="Nadpis2"/>
        <w:spacing w:before="0" w:after="0"/>
        <w:rPr>
          <w:b w:val="0"/>
          <w:bCs w:val="0"/>
          <w:i w:val="0"/>
          <w:iCs w:val="0"/>
          <w:sz w:val="22"/>
          <w:szCs w:val="22"/>
        </w:rPr>
      </w:pPr>
      <w:r w:rsidRPr="00647DFD">
        <w:rPr>
          <w:bCs w:val="0"/>
          <w:i w:val="0"/>
          <w:iCs w:val="0"/>
          <w:sz w:val="22"/>
          <w:szCs w:val="22"/>
        </w:rPr>
        <w:t>Zbyněk Stejskal</w:t>
      </w:r>
      <w:r w:rsidR="00ED2FFE">
        <w:rPr>
          <w:bCs w:val="0"/>
          <w:i w:val="0"/>
          <w:iCs w:val="0"/>
          <w:sz w:val="22"/>
          <w:szCs w:val="22"/>
        </w:rPr>
        <w:t>, v. r.</w:t>
      </w:r>
      <w:r w:rsidRPr="00647DFD">
        <w:rPr>
          <w:b w:val="0"/>
          <w:bCs w:val="0"/>
          <w:i w:val="0"/>
          <w:iCs w:val="0"/>
          <w:sz w:val="22"/>
          <w:szCs w:val="22"/>
        </w:rPr>
        <w:tab/>
      </w:r>
      <w:r w:rsidRPr="00647DFD">
        <w:rPr>
          <w:b w:val="0"/>
          <w:bCs w:val="0"/>
          <w:i w:val="0"/>
          <w:iCs w:val="0"/>
          <w:sz w:val="22"/>
          <w:szCs w:val="22"/>
        </w:rPr>
        <w:tab/>
      </w:r>
      <w:r w:rsidRPr="00647DFD">
        <w:rPr>
          <w:b w:val="0"/>
          <w:bCs w:val="0"/>
          <w:i w:val="0"/>
          <w:iCs w:val="0"/>
          <w:sz w:val="22"/>
          <w:szCs w:val="22"/>
        </w:rPr>
        <w:tab/>
      </w:r>
      <w:r w:rsidRPr="00647DFD">
        <w:rPr>
          <w:b w:val="0"/>
          <w:bCs w:val="0"/>
          <w:i w:val="0"/>
          <w:iCs w:val="0"/>
          <w:sz w:val="22"/>
          <w:szCs w:val="22"/>
        </w:rPr>
        <w:tab/>
      </w:r>
      <w:r w:rsidR="00E13BE9" w:rsidRPr="00E13BE9">
        <w:rPr>
          <w:bCs w:val="0"/>
          <w:i w:val="0"/>
          <w:iCs w:val="0"/>
          <w:sz w:val="22"/>
          <w:szCs w:val="22"/>
        </w:rPr>
        <w:t>Bc. Václav Stejskal</w:t>
      </w:r>
      <w:r w:rsidR="00ED2FFE">
        <w:rPr>
          <w:bCs w:val="0"/>
          <w:i w:val="0"/>
          <w:iCs w:val="0"/>
          <w:sz w:val="22"/>
          <w:szCs w:val="22"/>
        </w:rPr>
        <w:t>, v. r.</w:t>
      </w:r>
    </w:p>
    <w:p w:rsidR="0087116A" w:rsidRPr="00647DFD" w:rsidRDefault="0087116A" w:rsidP="0087116A">
      <w:pPr>
        <w:rPr>
          <w:rFonts w:cs="Arial"/>
          <w:szCs w:val="22"/>
        </w:rPr>
      </w:pPr>
      <w:r w:rsidRPr="00647DFD">
        <w:rPr>
          <w:rFonts w:cs="Arial"/>
          <w:szCs w:val="22"/>
        </w:rPr>
        <w:t>starosta města</w:t>
      </w:r>
      <w:r w:rsidRPr="00647DFD">
        <w:rPr>
          <w:rFonts w:cs="Arial"/>
          <w:szCs w:val="22"/>
        </w:rPr>
        <w:tab/>
      </w:r>
      <w:r w:rsidRPr="00647DFD">
        <w:rPr>
          <w:rFonts w:cs="Arial"/>
          <w:szCs w:val="22"/>
        </w:rPr>
        <w:tab/>
      </w:r>
      <w:r w:rsidRPr="00647DFD">
        <w:rPr>
          <w:rFonts w:cs="Arial"/>
          <w:szCs w:val="22"/>
        </w:rPr>
        <w:tab/>
      </w:r>
      <w:r w:rsidRPr="00647DFD">
        <w:rPr>
          <w:rFonts w:cs="Arial"/>
          <w:szCs w:val="22"/>
        </w:rPr>
        <w:tab/>
      </w:r>
      <w:r w:rsidRPr="00647DFD">
        <w:rPr>
          <w:rFonts w:cs="Arial"/>
          <w:szCs w:val="22"/>
        </w:rPr>
        <w:tab/>
        <w:t xml:space="preserve">statutární </w:t>
      </w:r>
      <w:r w:rsidR="00E13BE9">
        <w:rPr>
          <w:rFonts w:cs="Arial"/>
          <w:szCs w:val="22"/>
        </w:rPr>
        <w:t>zástupce</w:t>
      </w:r>
    </w:p>
    <w:p w:rsidR="0087116A" w:rsidRPr="00647DFD" w:rsidRDefault="0087116A" w:rsidP="0087116A">
      <w:pPr>
        <w:ind w:right="72"/>
        <w:rPr>
          <w:rFonts w:cs="Arial"/>
          <w:szCs w:val="22"/>
        </w:rPr>
      </w:pPr>
    </w:p>
    <w:p w:rsidR="0087116A" w:rsidRPr="00647DFD" w:rsidRDefault="0087116A" w:rsidP="0087116A">
      <w:pPr>
        <w:ind w:right="72"/>
        <w:rPr>
          <w:rFonts w:cs="Arial"/>
          <w:szCs w:val="22"/>
        </w:rPr>
      </w:pPr>
    </w:p>
    <w:p w:rsidR="0087116A" w:rsidRDefault="0087116A" w:rsidP="0087116A">
      <w:pPr>
        <w:rPr>
          <w:rFonts w:cs="Arial"/>
          <w:szCs w:val="22"/>
        </w:rPr>
      </w:pPr>
    </w:p>
    <w:p w:rsidR="004F74E0" w:rsidRPr="00647DFD" w:rsidRDefault="004F74E0" w:rsidP="0087116A">
      <w:pPr>
        <w:rPr>
          <w:rFonts w:cs="Arial"/>
          <w:szCs w:val="22"/>
        </w:rPr>
      </w:pPr>
    </w:p>
    <w:p w:rsidR="0087116A" w:rsidRPr="00647DFD" w:rsidRDefault="0087116A" w:rsidP="0087116A">
      <w:pPr>
        <w:rPr>
          <w:rFonts w:cs="Arial"/>
          <w:szCs w:val="22"/>
        </w:rPr>
      </w:pPr>
    </w:p>
    <w:p w:rsidR="0087116A" w:rsidRDefault="0087116A" w:rsidP="0087116A">
      <w:pPr>
        <w:rPr>
          <w:rFonts w:cs="Arial"/>
          <w:szCs w:val="22"/>
        </w:rPr>
      </w:pPr>
    </w:p>
    <w:p w:rsidR="004F74E0" w:rsidRPr="00647DFD" w:rsidRDefault="004F74E0"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jc w:val="both"/>
        <w:rPr>
          <w:rFonts w:cs="Arial"/>
          <w:sz w:val="16"/>
          <w:szCs w:val="16"/>
        </w:rPr>
      </w:pPr>
      <w:r w:rsidRPr="00647DFD">
        <w:rPr>
          <w:rFonts w:cs="Arial"/>
          <w:b/>
          <w:sz w:val="16"/>
          <w:szCs w:val="16"/>
        </w:rPr>
        <w:t>*Nařízení Evropského parlamentu a Rady (EU)</w:t>
      </w:r>
      <w:r w:rsidRPr="00647DFD">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647DFD">
        <w:rPr>
          <w:rFonts w:cs="Arial"/>
          <w:b/>
          <w:sz w:val="16"/>
          <w:szCs w:val="16"/>
        </w:rPr>
        <w:t>dále jen „Nařízení“</w:t>
      </w:r>
      <w:r w:rsidRPr="00647DFD">
        <w:rPr>
          <w:rFonts w:cs="Arial"/>
          <w:sz w:val="16"/>
          <w:szCs w:val="16"/>
        </w:rPr>
        <w:t>).</w:t>
      </w:r>
    </w:p>
    <w:p w:rsidR="0087116A" w:rsidRPr="00647DFD" w:rsidRDefault="0087116A" w:rsidP="0087116A">
      <w:pPr>
        <w:rPr>
          <w:rFonts w:cs="Arial"/>
          <w:szCs w:val="22"/>
        </w:rPr>
      </w:pPr>
    </w:p>
    <w:p w:rsidR="003C1831" w:rsidRPr="0087116A" w:rsidRDefault="003C1831" w:rsidP="0087116A"/>
    <w:sectPr w:rsidR="003C1831" w:rsidRPr="0087116A" w:rsidSect="0001242F">
      <w:headerReference w:type="default" r:id="rId9"/>
      <w:footerReference w:type="even"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DA" w:rsidRDefault="007B43DA">
      <w:r>
        <w:separator/>
      </w:r>
    </w:p>
  </w:endnote>
  <w:endnote w:type="continuationSeparator" w:id="0">
    <w:p w:rsidR="007B43DA" w:rsidRDefault="007B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95569">
      <w:rPr>
        <w:rStyle w:val="slostrnky"/>
        <w:noProof/>
      </w:rPr>
      <w:t>7</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DA" w:rsidRDefault="007B43DA">
      <w:r>
        <w:separator/>
      </w:r>
    </w:p>
  </w:footnote>
  <w:footnote w:type="continuationSeparator" w:id="0">
    <w:p w:rsidR="007B43DA" w:rsidRDefault="007B4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73600"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7F7D1B" w:rsidRPr="007F7D1B">
      <w:rPr>
        <w:sz w:val="18"/>
        <w:szCs w:val="18"/>
      </w:rPr>
      <w:t>VSJ0050/26</w:t>
    </w:r>
    <w:r w:rsidRPr="0087116A">
      <w:rPr>
        <w:sz w:val="18"/>
        <w:szCs w:val="18"/>
      </w:rPr>
      <w:t xml:space="preserve"> </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B60311">
      <w:rPr>
        <w:sz w:val="18"/>
        <w:szCs w:val="18"/>
      </w:rPr>
      <w:t>232</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CDB2AB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6"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7"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6"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6"/>
  </w:num>
  <w:num w:numId="5">
    <w:abstractNumId w:val="4"/>
  </w:num>
  <w:num w:numId="6">
    <w:abstractNumId w:val="17"/>
  </w:num>
  <w:num w:numId="7">
    <w:abstractNumId w:val="33"/>
  </w:num>
  <w:num w:numId="8">
    <w:abstractNumId w:val="28"/>
  </w:num>
  <w:num w:numId="9">
    <w:abstractNumId w:val="12"/>
  </w:num>
  <w:num w:numId="10">
    <w:abstractNumId w:val="26"/>
  </w:num>
  <w:num w:numId="11">
    <w:abstractNumId w:val="19"/>
  </w:num>
  <w:num w:numId="12">
    <w:abstractNumId w:val="23"/>
  </w:num>
  <w:num w:numId="13">
    <w:abstractNumId w:val="22"/>
  </w:num>
  <w:num w:numId="14">
    <w:abstractNumId w:val="32"/>
  </w:num>
  <w:num w:numId="15">
    <w:abstractNumId w:val="27"/>
  </w:num>
  <w:num w:numId="16">
    <w:abstractNumId w:val="11"/>
  </w:num>
  <w:num w:numId="17">
    <w:abstractNumId w:val="24"/>
  </w:num>
  <w:num w:numId="18">
    <w:abstractNumId w:val="1"/>
  </w:num>
  <w:num w:numId="19">
    <w:abstractNumId w:val="35"/>
  </w:num>
  <w:num w:numId="20">
    <w:abstractNumId w:val="34"/>
  </w:num>
  <w:num w:numId="21">
    <w:abstractNumId w:val="5"/>
  </w:num>
  <w:num w:numId="22">
    <w:abstractNumId w:val="31"/>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18"/>
  </w:num>
  <w:num w:numId="29">
    <w:abstractNumId w:val="0"/>
  </w:num>
  <w:num w:numId="30">
    <w:abstractNumId w:val="29"/>
  </w:num>
  <w:num w:numId="31">
    <w:abstractNumId w:val="14"/>
  </w:num>
  <w:num w:numId="32">
    <w:abstractNumId w:val="36"/>
  </w:num>
  <w:num w:numId="33">
    <w:abstractNumId w:val="8"/>
  </w:num>
  <w:num w:numId="34">
    <w:abstractNumId w:val="20"/>
  </w:num>
  <w:num w:numId="35">
    <w:abstractNumId w:val="21"/>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74E0"/>
    <w:rsid w:val="00502E98"/>
    <w:rsid w:val="0050506B"/>
    <w:rsid w:val="00506CC8"/>
    <w:rsid w:val="00517867"/>
    <w:rsid w:val="00521134"/>
    <w:rsid w:val="00521D3F"/>
    <w:rsid w:val="00522053"/>
    <w:rsid w:val="005369CD"/>
    <w:rsid w:val="00552E16"/>
    <w:rsid w:val="005536BE"/>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504C"/>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3DA"/>
    <w:rsid w:val="007B4E29"/>
    <w:rsid w:val="007B502D"/>
    <w:rsid w:val="007D339D"/>
    <w:rsid w:val="007D33C0"/>
    <w:rsid w:val="007D3D50"/>
    <w:rsid w:val="007D68BB"/>
    <w:rsid w:val="007D71DB"/>
    <w:rsid w:val="007E33AF"/>
    <w:rsid w:val="007E57CB"/>
    <w:rsid w:val="007E6CA6"/>
    <w:rsid w:val="007E755B"/>
    <w:rsid w:val="007F7D1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3F99"/>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60311"/>
    <w:rsid w:val="00B73215"/>
    <w:rsid w:val="00B746B0"/>
    <w:rsid w:val="00B74A1C"/>
    <w:rsid w:val="00B778B1"/>
    <w:rsid w:val="00B844A4"/>
    <w:rsid w:val="00B878DD"/>
    <w:rsid w:val="00B95569"/>
    <w:rsid w:val="00BA5989"/>
    <w:rsid w:val="00BA6300"/>
    <w:rsid w:val="00BB57D4"/>
    <w:rsid w:val="00BB6E67"/>
    <w:rsid w:val="00BD1F9D"/>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13BE9"/>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2FFE"/>
    <w:rsid w:val="00ED6283"/>
    <w:rsid w:val="00EE084A"/>
    <w:rsid w:val="00EE10AF"/>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116A"/>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hb.cz/assets/File.ashx?id_org=3782&amp;id_dokumenty=854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hb.cz/assets/File.ashx?id_org=3782&amp;id_dokumenty=854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12</Pages>
  <Words>2883</Words>
  <Characters>17012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2026-02-06T11:15:00Z</cp:lastPrinted>
  <dcterms:created xsi:type="dcterms:W3CDTF">2026-02-06T11:16:00Z</dcterms:created>
  <dcterms:modified xsi:type="dcterms:W3CDTF">2026-02-06T11:16:00Z</dcterms:modified>
</cp:coreProperties>
</file>